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3EF35D">
      <w:pPr>
        <w:jc w:val="center"/>
        <w:rPr>
          <w:rFonts w:hint="eastAsia"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普宁市洪阳镇污水处理厂扩建、提标改造及新增配套管网建设工程排口溯源摸查服务报价表</w:t>
      </w:r>
    </w:p>
    <w:tbl>
      <w:tblPr>
        <w:tblStyle w:val="6"/>
        <w:tblW w:w="4799" w:type="pct"/>
        <w:jc w:val="center"/>
        <w:tblLayout w:type="fixed"/>
        <w:tblCellMar>
          <w:top w:w="0" w:type="dxa"/>
          <w:left w:w="108" w:type="dxa"/>
          <w:bottom w:w="0" w:type="dxa"/>
          <w:right w:w="108" w:type="dxa"/>
        </w:tblCellMar>
      </w:tblPr>
      <w:tblGrid>
        <w:gridCol w:w="1057"/>
        <w:gridCol w:w="2508"/>
        <w:gridCol w:w="936"/>
        <w:gridCol w:w="951"/>
        <w:gridCol w:w="1037"/>
        <w:gridCol w:w="1053"/>
        <w:gridCol w:w="637"/>
      </w:tblGrid>
      <w:tr w14:paraId="43B5B1D6">
        <w:tblPrEx>
          <w:tblCellMar>
            <w:top w:w="0" w:type="dxa"/>
            <w:left w:w="108" w:type="dxa"/>
            <w:bottom w:w="0" w:type="dxa"/>
            <w:right w:w="108" w:type="dxa"/>
          </w:tblCellMar>
        </w:tblPrEx>
        <w:trPr>
          <w:trHeight w:val="1124" w:hRule="atLeast"/>
          <w:jc w:val="center"/>
        </w:trPr>
        <w:tc>
          <w:tcPr>
            <w:tcW w:w="64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01886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工作子项</w:t>
            </w:r>
          </w:p>
        </w:tc>
        <w:tc>
          <w:tcPr>
            <w:tcW w:w="1533" w:type="pct"/>
            <w:tcBorders>
              <w:top w:val="single" w:color="auto" w:sz="4" w:space="0"/>
              <w:left w:val="nil"/>
              <w:bottom w:val="single" w:color="auto" w:sz="4" w:space="0"/>
              <w:right w:val="single" w:color="auto" w:sz="4" w:space="0"/>
            </w:tcBorders>
            <w:shd w:val="clear" w:color="auto" w:fill="auto"/>
            <w:noWrap/>
            <w:vAlign w:val="center"/>
          </w:tcPr>
          <w:p w14:paraId="2083760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工作内容</w:t>
            </w:r>
          </w:p>
        </w:tc>
        <w:tc>
          <w:tcPr>
            <w:tcW w:w="572" w:type="pct"/>
            <w:tcBorders>
              <w:top w:val="single" w:color="auto" w:sz="4" w:space="0"/>
              <w:left w:val="nil"/>
              <w:bottom w:val="single" w:color="auto" w:sz="4" w:space="0"/>
              <w:right w:val="single" w:color="auto" w:sz="4" w:space="0"/>
            </w:tcBorders>
            <w:shd w:val="clear" w:color="auto" w:fill="auto"/>
            <w:noWrap/>
            <w:vAlign w:val="center"/>
          </w:tcPr>
          <w:p w14:paraId="5322B79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单位</w:t>
            </w:r>
          </w:p>
        </w:tc>
        <w:tc>
          <w:tcPr>
            <w:tcW w:w="581" w:type="pct"/>
            <w:tcBorders>
              <w:top w:val="single" w:color="auto" w:sz="4" w:space="0"/>
              <w:left w:val="nil"/>
              <w:bottom w:val="single" w:color="auto" w:sz="4" w:space="0"/>
              <w:right w:val="single" w:color="auto" w:sz="4" w:space="0"/>
            </w:tcBorders>
            <w:shd w:val="clear" w:color="000000" w:fill="FFFFFF"/>
            <w:vAlign w:val="center"/>
          </w:tcPr>
          <w:p w14:paraId="433750E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工作量</w:t>
            </w:r>
          </w:p>
        </w:tc>
        <w:tc>
          <w:tcPr>
            <w:tcW w:w="634" w:type="pct"/>
            <w:tcBorders>
              <w:top w:val="single" w:color="auto" w:sz="4" w:space="0"/>
              <w:left w:val="nil"/>
              <w:bottom w:val="single" w:color="auto" w:sz="4" w:space="0"/>
              <w:right w:val="single" w:color="auto" w:sz="4" w:space="0"/>
            </w:tcBorders>
            <w:shd w:val="clear" w:color="auto" w:fill="auto"/>
            <w:noWrap/>
            <w:vAlign w:val="center"/>
          </w:tcPr>
          <w:p w14:paraId="2EA8F7BC">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含税单价（元）</w:t>
            </w:r>
          </w:p>
        </w:tc>
        <w:tc>
          <w:tcPr>
            <w:tcW w:w="643" w:type="pct"/>
            <w:tcBorders>
              <w:top w:val="single" w:color="auto" w:sz="4" w:space="0"/>
              <w:left w:val="nil"/>
              <w:bottom w:val="single" w:color="auto" w:sz="4" w:space="0"/>
              <w:right w:val="single" w:color="auto" w:sz="4" w:space="0"/>
            </w:tcBorders>
            <w:shd w:val="clear" w:color="auto" w:fill="auto"/>
            <w:noWrap/>
            <w:vAlign w:val="center"/>
          </w:tcPr>
          <w:p w14:paraId="7DA27F4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含税合价（元）</w:t>
            </w:r>
          </w:p>
        </w:tc>
        <w:tc>
          <w:tcPr>
            <w:tcW w:w="389" w:type="pct"/>
            <w:tcBorders>
              <w:top w:val="single" w:color="auto" w:sz="4" w:space="0"/>
              <w:left w:val="nil"/>
              <w:bottom w:val="single" w:color="auto" w:sz="4" w:space="0"/>
              <w:right w:val="single" w:color="auto" w:sz="4" w:space="0"/>
            </w:tcBorders>
            <w:shd w:val="clear" w:color="auto" w:fill="auto"/>
            <w:noWrap/>
            <w:vAlign w:val="center"/>
          </w:tcPr>
          <w:p w14:paraId="4EB5DCE9">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备注</w:t>
            </w:r>
          </w:p>
        </w:tc>
      </w:tr>
      <w:tr w14:paraId="4AB57092">
        <w:tblPrEx>
          <w:tblCellMar>
            <w:top w:w="0" w:type="dxa"/>
            <w:left w:w="108" w:type="dxa"/>
            <w:bottom w:w="0" w:type="dxa"/>
            <w:right w:w="108" w:type="dxa"/>
          </w:tblCellMar>
        </w:tblPrEx>
        <w:trPr>
          <w:trHeight w:val="1124" w:hRule="atLeast"/>
          <w:jc w:val="center"/>
        </w:trPr>
        <w:tc>
          <w:tcPr>
            <w:tcW w:w="646" w:type="pct"/>
            <w:vMerge w:val="restart"/>
            <w:tcBorders>
              <w:top w:val="single" w:color="auto" w:sz="4" w:space="0"/>
              <w:left w:val="single" w:color="auto" w:sz="4" w:space="0"/>
              <w:right w:val="single" w:color="auto" w:sz="4" w:space="0"/>
            </w:tcBorders>
            <w:shd w:val="clear" w:color="auto" w:fill="auto"/>
            <w:vAlign w:val="center"/>
          </w:tcPr>
          <w:p w14:paraId="5C7A60D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溯源摸查</w:t>
            </w:r>
          </w:p>
        </w:tc>
        <w:tc>
          <w:tcPr>
            <w:tcW w:w="1533" w:type="pct"/>
            <w:tcBorders>
              <w:top w:val="single" w:color="auto" w:sz="4" w:space="0"/>
              <w:left w:val="nil"/>
              <w:bottom w:val="single" w:color="auto" w:sz="4" w:space="0"/>
              <w:right w:val="single" w:color="auto" w:sz="4" w:space="0"/>
            </w:tcBorders>
            <w:shd w:val="clear" w:color="000000" w:fill="FFFFFF"/>
            <w:vAlign w:val="center"/>
          </w:tcPr>
          <w:p w14:paraId="74140E5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区域排水管线排查</w:t>
            </w:r>
          </w:p>
        </w:tc>
        <w:tc>
          <w:tcPr>
            <w:tcW w:w="572" w:type="pct"/>
            <w:tcBorders>
              <w:top w:val="single" w:color="auto" w:sz="4" w:space="0"/>
              <w:left w:val="nil"/>
              <w:bottom w:val="single" w:color="auto" w:sz="4" w:space="0"/>
              <w:right w:val="single" w:color="auto" w:sz="4" w:space="0"/>
            </w:tcBorders>
            <w:shd w:val="clear" w:color="auto" w:fill="auto"/>
            <w:noWrap/>
            <w:vAlign w:val="center"/>
          </w:tcPr>
          <w:p w14:paraId="0B07C17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km</w:t>
            </w:r>
          </w:p>
        </w:tc>
        <w:tc>
          <w:tcPr>
            <w:tcW w:w="581" w:type="pct"/>
            <w:tcBorders>
              <w:top w:val="single" w:color="auto" w:sz="4" w:space="0"/>
              <w:left w:val="nil"/>
              <w:bottom w:val="single" w:color="auto" w:sz="4" w:space="0"/>
              <w:right w:val="single" w:color="auto" w:sz="4" w:space="0"/>
            </w:tcBorders>
            <w:shd w:val="clear" w:color="000000" w:fill="FFFFFF"/>
            <w:noWrap/>
            <w:vAlign w:val="center"/>
          </w:tcPr>
          <w:p w14:paraId="67F8793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180</w:t>
            </w:r>
          </w:p>
        </w:tc>
        <w:tc>
          <w:tcPr>
            <w:tcW w:w="634" w:type="pct"/>
            <w:tcBorders>
              <w:top w:val="single" w:color="auto" w:sz="4" w:space="0"/>
              <w:left w:val="nil"/>
              <w:bottom w:val="single" w:color="auto" w:sz="4" w:space="0"/>
              <w:right w:val="single" w:color="auto" w:sz="4" w:space="0"/>
            </w:tcBorders>
            <w:shd w:val="clear" w:color="auto" w:fill="auto"/>
            <w:noWrap/>
            <w:vAlign w:val="center"/>
          </w:tcPr>
          <w:p w14:paraId="7D7F922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643" w:type="pct"/>
            <w:tcBorders>
              <w:top w:val="single" w:color="auto" w:sz="4" w:space="0"/>
              <w:left w:val="nil"/>
              <w:bottom w:val="single" w:color="auto" w:sz="4" w:space="0"/>
              <w:right w:val="single" w:color="auto" w:sz="4" w:space="0"/>
            </w:tcBorders>
            <w:shd w:val="clear" w:color="auto" w:fill="auto"/>
            <w:noWrap/>
            <w:vAlign w:val="center"/>
          </w:tcPr>
          <w:p w14:paraId="5704777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9" w:type="pct"/>
            <w:tcBorders>
              <w:top w:val="single" w:color="auto" w:sz="4" w:space="0"/>
              <w:left w:val="nil"/>
              <w:bottom w:val="single" w:color="auto" w:sz="4" w:space="0"/>
              <w:right w:val="single" w:color="auto" w:sz="4" w:space="0"/>
            </w:tcBorders>
            <w:shd w:val="clear" w:color="auto" w:fill="auto"/>
            <w:noWrap/>
            <w:vAlign w:val="center"/>
          </w:tcPr>
          <w:p w14:paraId="205875A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4BE786FB">
        <w:tblPrEx>
          <w:tblCellMar>
            <w:top w:w="0" w:type="dxa"/>
            <w:left w:w="108" w:type="dxa"/>
            <w:bottom w:w="0" w:type="dxa"/>
            <w:right w:w="108" w:type="dxa"/>
          </w:tblCellMar>
        </w:tblPrEx>
        <w:trPr>
          <w:trHeight w:val="1124" w:hRule="atLeast"/>
          <w:jc w:val="center"/>
        </w:trPr>
        <w:tc>
          <w:tcPr>
            <w:tcW w:w="646" w:type="pct"/>
            <w:vMerge w:val="continue"/>
            <w:tcBorders>
              <w:left w:val="single" w:color="auto" w:sz="4" w:space="0"/>
              <w:right w:val="single" w:color="auto" w:sz="4" w:space="0"/>
            </w:tcBorders>
            <w:vAlign w:val="center"/>
          </w:tcPr>
          <w:p w14:paraId="2B327BDE">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3" w:type="pct"/>
            <w:tcBorders>
              <w:top w:val="nil"/>
              <w:left w:val="nil"/>
              <w:bottom w:val="single" w:color="auto" w:sz="4" w:space="0"/>
              <w:right w:val="single" w:color="auto" w:sz="4" w:space="0"/>
            </w:tcBorders>
            <w:shd w:val="clear" w:color="auto" w:fill="auto"/>
            <w:noWrap/>
            <w:vAlign w:val="center"/>
          </w:tcPr>
          <w:p w14:paraId="6A0CFBC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排口调查</w:t>
            </w:r>
          </w:p>
        </w:tc>
        <w:tc>
          <w:tcPr>
            <w:tcW w:w="572" w:type="pct"/>
            <w:tcBorders>
              <w:top w:val="nil"/>
              <w:left w:val="nil"/>
              <w:bottom w:val="single" w:color="auto" w:sz="4" w:space="0"/>
              <w:right w:val="single" w:color="auto" w:sz="4" w:space="0"/>
            </w:tcBorders>
            <w:shd w:val="clear" w:color="auto" w:fill="auto"/>
            <w:noWrap/>
            <w:vAlign w:val="center"/>
          </w:tcPr>
          <w:p w14:paraId="3D5AF89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处</w:t>
            </w:r>
          </w:p>
        </w:tc>
        <w:tc>
          <w:tcPr>
            <w:tcW w:w="581" w:type="pct"/>
            <w:tcBorders>
              <w:top w:val="nil"/>
              <w:left w:val="nil"/>
              <w:bottom w:val="single" w:color="auto" w:sz="4" w:space="0"/>
              <w:right w:val="single" w:color="auto" w:sz="4" w:space="0"/>
            </w:tcBorders>
            <w:shd w:val="clear" w:color="000000" w:fill="FFFFFF"/>
            <w:noWrap/>
            <w:vAlign w:val="center"/>
          </w:tcPr>
          <w:p w14:paraId="63891F72">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175</w:t>
            </w:r>
          </w:p>
        </w:tc>
        <w:tc>
          <w:tcPr>
            <w:tcW w:w="634" w:type="pct"/>
            <w:tcBorders>
              <w:top w:val="nil"/>
              <w:left w:val="nil"/>
              <w:bottom w:val="single" w:color="auto" w:sz="4" w:space="0"/>
              <w:right w:val="single" w:color="auto" w:sz="4" w:space="0"/>
            </w:tcBorders>
            <w:shd w:val="clear" w:color="auto" w:fill="auto"/>
            <w:noWrap/>
            <w:vAlign w:val="center"/>
          </w:tcPr>
          <w:p w14:paraId="4B6687D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643" w:type="pct"/>
            <w:tcBorders>
              <w:top w:val="nil"/>
              <w:left w:val="nil"/>
              <w:bottom w:val="single" w:color="auto" w:sz="4" w:space="0"/>
              <w:right w:val="single" w:color="auto" w:sz="4" w:space="0"/>
            </w:tcBorders>
            <w:shd w:val="clear" w:color="auto" w:fill="auto"/>
            <w:noWrap/>
            <w:vAlign w:val="center"/>
          </w:tcPr>
          <w:p w14:paraId="1AE30D4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9" w:type="pct"/>
            <w:tcBorders>
              <w:top w:val="nil"/>
              <w:left w:val="nil"/>
              <w:bottom w:val="single" w:color="auto" w:sz="4" w:space="0"/>
              <w:right w:val="single" w:color="auto" w:sz="4" w:space="0"/>
            </w:tcBorders>
            <w:shd w:val="clear" w:color="auto" w:fill="auto"/>
            <w:noWrap/>
            <w:vAlign w:val="center"/>
          </w:tcPr>
          <w:p w14:paraId="5634FCB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DFFC704">
        <w:tblPrEx>
          <w:tblCellMar>
            <w:top w:w="0" w:type="dxa"/>
            <w:left w:w="108" w:type="dxa"/>
            <w:bottom w:w="0" w:type="dxa"/>
            <w:right w:w="108" w:type="dxa"/>
          </w:tblCellMar>
        </w:tblPrEx>
        <w:trPr>
          <w:trHeight w:val="1224" w:hRule="atLeast"/>
          <w:jc w:val="center"/>
        </w:trPr>
        <w:tc>
          <w:tcPr>
            <w:tcW w:w="646" w:type="pct"/>
            <w:vMerge w:val="continue"/>
            <w:tcBorders>
              <w:left w:val="single" w:color="auto" w:sz="4" w:space="0"/>
              <w:bottom w:val="single" w:color="auto" w:sz="4" w:space="0"/>
              <w:right w:val="single" w:color="auto" w:sz="4" w:space="0"/>
            </w:tcBorders>
            <w:shd w:val="clear" w:color="auto" w:fill="auto"/>
            <w:vAlign w:val="center"/>
          </w:tcPr>
          <w:p w14:paraId="6749C504">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1533" w:type="pct"/>
            <w:tcBorders>
              <w:top w:val="nil"/>
              <w:left w:val="nil"/>
              <w:bottom w:val="single" w:color="auto" w:sz="4" w:space="0"/>
              <w:right w:val="single" w:color="auto" w:sz="4" w:space="0"/>
            </w:tcBorders>
            <w:shd w:val="clear" w:color="000000" w:fill="FFFFFF"/>
            <w:vAlign w:val="center"/>
          </w:tcPr>
          <w:p w14:paraId="577F5C4F">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水质调查（COD\氨氮快速检测）</w:t>
            </w:r>
          </w:p>
        </w:tc>
        <w:tc>
          <w:tcPr>
            <w:tcW w:w="572" w:type="pct"/>
            <w:tcBorders>
              <w:top w:val="nil"/>
              <w:left w:val="nil"/>
              <w:bottom w:val="single" w:color="auto" w:sz="4" w:space="0"/>
              <w:right w:val="single" w:color="auto" w:sz="4" w:space="0"/>
            </w:tcBorders>
            <w:shd w:val="clear" w:color="auto" w:fill="auto"/>
            <w:noWrap/>
            <w:vAlign w:val="center"/>
          </w:tcPr>
          <w:p w14:paraId="62D60FB0">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处</w:t>
            </w:r>
          </w:p>
        </w:tc>
        <w:tc>
          <w:tcPr>
            <w:tcW w:w="581" w:type="pct"/>
            <w:tcBorders>
              <w:top w:val="nil"/>
              <w:left w:val="nil"/>
              <w:bottom w:val="single" w:color="auto" w:sz="4" w:space="0"/>
              <w:right w:val="single" w:color="auto" w:sz="4" w:space="0"/>
            </w:tcBorders>
            <w:shd w:val="clear" w:color="000000" w:fill="FFFFFF"/>
            <w:noWrap/>
            <w:vAlign w:val="center"/>
          </w:tcPr>
          <w:p w14:paraId="17FBEE5B">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175</w:t>
            </w:r>
          </w:p>
        </w:tc>
        <w:tc>
          <w:tcPr>
            <w:tcW w:w="634" w:type="pct"/>
            <w:tcBorders>
              <w:top w:val="nil"/>
              <w:left w:val="nil"/>
              <w:bottom w:val="single" w:color="auto" w:sz="4" w:space="0"/>
              <w:right w:val="single" w:color="auto" w:sz="4" w:space="0"/>
            </w:tcBorders>
            <w:shd w:val="clear" w:color="000000" w:fill="FFFFFF"/>
            <w:vAlign w:val="center"/>
          </w:tcPr>
          <w:p w14:paraId="464FFBC5">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643" w:type="pct"/>
            <w:tcBorders>
              <w:top w:val="nil"/>
              <w:left w:val="nil"/>
              <w:bottom w:val="single" w:color="auto" w:sz="4" w:space="0"/>
              <w:right w:val="single" w:color="auto" w:sz="4" w:space="0"/>
            </w:tcBorders>
            <w:shd w:val="clear" w:color="000000" w:fill="FFFFFF"/>
            <w:vAlign w:val="center"/>
          </w:tcPr>
          <w:p w14:paraId="69B5F9B7">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9" w:type="pct"/>
            <w:tcBorders>
              <w:top w:val="nil"/>
              <w:left w:val="nil"/>
              <w:bottom w:val="single" w:color="auto" w:sz="4" w:space="0"/>
              <w:right w:val="single" w:color="auto" w:sz="4" w:space="0"/>
            </w:tcBorders>
            <w:shd w:val="clear" w:color="000000" w:fill="FFFFFF"/>
            <w:vAlign w:val="center"/>
          </w:tcPr>
          <w:p w14:paraId="5CE573D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F0D7636">
        <w:tblPrEx>
          <w:tblCellMar>
            <w:top w:w="0" w:type="dxa"/>
            <w:left w:w="108" w:type="dxa"/>
            <w:bottom w:w="0" w:type="dxa"/>
            <w:right w:w="108" w:type="dxa"/>
          </w:tblCellMar>
        </w:tblPrEx>
        <w:trPr>
          <w:trHeight w:val="1224" w:hRule="atLeast"/>
          <w:jc w:val="center"/>
        </w:trPr>
        <w:tc>
          <w:tcPr>
            <w:tcW w:w="646" w:type="pct"/>
            <w:vMerge w:val="continue"/>
            <w:tcBorders>
              <w:left w:val="single" w:color="auto" w:sz="4" w:space="0"/>
              <w:bottom w:val="single" w:color="auto" w:sz="4" w:space="0"/>
              <w:right w:val="single" w:color="auto" w:sz="4" w:space="0"/>
            </w:tcBorders>
            <w:shd w:val="clear" w:color="auto" w:fill="auto"/>
            <w:vAlign w:val="center"/>
          </w:tcPr>
          <w:p w14:paraId="3736EBAD">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320" w:type="pct"/>
            <w:gridSpan w:val="4"/>
            <w:tcBorders>
              <w:top w:val="nil"/>
              <w:left w:val="nil"/>
              <w:bottom w:val="single" w:color="auto" w:sz="4" w:space="0"/>
              <w:right w:val="single" w:color="auto" w:sz="4" w:space="0"/>
            </w:tcBorders>
            <w:shd w:val="clear" w:color="000000" w:fill="FFFFFF"/>
            <w:vAlign w:val="center"/>
          </w:tcPr>
          <w:p w14:paraId="6CEB6F04">
            <w:pPr>
              <w:keepNext w:val="0"/>
              <w:keepLines w:val="0"/>
              <w:widowControl/>
              <w:suppressLineNumbers w:val="0"/>
              <w:jc w:val="righ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总价</w:t>
            </w:r>
          </w:p>
        </w:tc>
        <w:tc>
          <w:tcPr>
            <w:tcW w:w="643" w:type="pct"/>
            <w:tcBorders>
              <w:top w:val="nil"/>
              <w:left w:val="nil"/>
              <w:bottom w:val="single" w:color="auto" w:sz="4" w:space="0"/>
              <w:right w:val="single" w:color="auto" w:sz="4" w:space="0"/>
            </w:tcBorders>
            <w:shd w:val="clear" w:color="000000" w:fill="FFFFFF"/>
            <w:vAlign w:val="center"/>
          </w:tcPr>
          <w:p w14:paraId="5F8FDE38">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c>
          <w:tcPr>
            <w:tcW w:w="389" w:type="pct"/>
            <w:tcBorders>
              <w:top w:val="nil"/>
              <w:left w:val="nil"/>
              <w:bottom w:val="single" w:color="auto" w:sz="4" w:space="0"/>
              <w:right w:val="single" w:color="auto" w:sz="4" w:space="0"/>
            </w:tcBorders>
            <w:shd w:val="clear" w:color="000000" w:fill="FFFFFF"/>
            <w:vAlign w:val="center"/>
          </w:tcPr>
          <w:p w14:paraId="2D4AE8DA">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tc>
      </w:tr>
      <w:tr w14:paraId="601AF254">
        <w:tblPrEx>
          <w:tblCellMar>
            <w:top w:w="0" w:type="dxa"/>
            <w:left w:w="108" w:type="dxa"/>
            <w:bottom w:w="0" w:type="dxa"/>
            <w:right w:w="108" w:type="dxa"/>
          </w:tblCellMar>
        </w:tblPrEx>
        <w:trPr>
          <w:trHeight w:val="758" w:hRule="atLeast"/>
          <w:jc w:val="center"/>
        </w:trPr>
        <w:tc>
          <w:tcPr>
            <w:tcW w:w="5000" w:type="pct"/>
            <w:gridSpan w:val="7"/>
            <w:tcBorders>
              <w:top w:val="single" w:color="auto" w:sz="4" w:space="0"/>
              <w:left w:val="single" w:color="auto" w:sz="4" w:space="0"/>
              <w:bottom w:val="single" w:color="auto" w:sz="4" w:space="0"/>
              <w:right w:val="single" w:color="auto" w:sz="4" w:space="0"/>
            </w:tcBorders>
            <w:shd w:val="clear" w:color="auto" w:fill="auto"/>
            <w:vAlign w:val="center"/>
          </w:tcPr>
          <w:p w14:paraId="34B874D6">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报价应包含人工费、交通费、材料费、咨询费、服务费、管理费、培训费、审查费、各种保险费、税费及合同实施过程中的应预见和不可预见费用等完成合同规定责任和义务、达到合同目的的一切费用。</w:t>
            </w:r>
          </w:p>
        </w:tc>
      </w:tr>
    </w:tbl>
    <w:p w14:paraId="1BA64486">
      <w:pPr>
        <w:pStyle w:val="5"/>
        <w:ind w:left="0" w:leftChars="0" w:firstLine="0" w:firstLineChars="0"/>
        <w:rPr>
          <w:rFonts w:hint="eastAsia" w:asciiTheme="minorEastAsia" w:hAnsiTheme="minorEastAsia" w:eastAsiaTheme="minorEastAsia" w:cstheme="minorEastAsia"/>
          <w:b/>
          <w:bCs/>
          <w:kern w:val="2"/>
          <w:sz w:val="24"/>
          <w:szCs w:val="24"/>
          <w:lang w:val="en-US" w:eastAsia="zh-CN" w:bidi="ar-SA"/>
        </w:rPr>
      </w:pPr>
    </w:p>
    <w:p w14:paraId="38DD45B4">
      <w:pPr>
        <w:pStyle w:val="5"/>
        <w:ind w:left="0" w:leftChars="0" w:firstLine="0" w:firstLineChars="0"/>
        <w:rPr>
          <w:rFonts w:hint="eastAsia" w:asciiTheme="minorEastAsia" w:hAnsiTheme="minorEastAsia" w:eastAsiaTheme="minorEastAsia" w:cstheme="minorEastAsia"/>
          <w:b/>
          <w:bCs/>
          <w:kern w:val="2"/>
          <w:sz w:val="24"/>
          <w:szCs w:val="24"/>
          <w:lang w:val="en-US" w:eastAsia="zh-CN" w:bidi="ar-SA"/>
        </w:rPr>
      </w:pPr>
    </w:p>
    <w:p w14:paraId="0B0054E7">
      <w:pPr>
        <w:pStyle w:val="5"/>
        <w:ind w:left="0" w:leftChars="0" w:firstLine="0" w:firstLineChars="0"/>
        <w:rPr>
          <w:rFonts w:hint="eastAsia" w:ascii="宋体" w:hAnsi="宋体" w:eastAsia="宋体" w:cs="宋体"/>
          <w:b/>
          <w:bCs/>
          <w:i w:val="0"/>
          <w:iCs w:val="0"/>
          <w:caps w:val="0"/>
          <w:color w:val="383838"/>
          <w:spacing w:val="0"/>
          <w:kern w:val="0"/>
          <w:sz w:val="28"/>
          <w:szCs w:val="28"/>
          <w:u w:val="single"/>
          <w:shd w:val="clear" w:fill="FFFFFF"/>
          <w:vertAlign w:val="baseline"/>
          <w:lang w:val="en-US" w:eastAsia="zh-CN" w:bidi="ar"/>
        </w:rPr>
      </w:pPr>
      <w:r>
        <w:rPr>
          <w:rFonts w:hint="eastAsia" w:ascii="宋体" w:hAnsi="宋体" w:eastAsia="宋体" w:cs="宋体"/>
          <w:b/>
          <w:bCs/>
          <w:i w:val="0"/>
          <w:iCs w:val="0"/>
          <w:caps w:val="0"/>
          <w:color w:val="383838"/>
          <w:spacing w:val="0"/>
          <w:kern w:val="0"/>
          <w:sz w:val="28"/>
          <w:szCs w:val="28"/>
          <w:shd w:val="clear" w:fill="FFFFFF"/>
          <w:vertAlign w:val="baseline"/>
          <w:lang w:val="en-US" w:eastAsia="zh-CN" w:bidi="ar"/>
        </w:rPr>
        <w:t>报价公司名称（盖章）：</w:t>
      </w:r>
      <w:r>
        <w:rPr>
          <w:rFonts w:hint="eastAsia" w:ascii="宋体" w:hAnsi="宋体" w:eastAsia="宋体" w:cs="宋体"/>
          <w:b/>
          <w:bCs/>
          <w:i w:val="0"/>
          <w:iCs w:val="0"/>
          <w:caps w:val="0"/>
          <w:color w:val="383838"/>
          <w:spacing w:val="0"/>
          <w:kern w:val="0"/>
          <w:sz w:val="28"/>
          <w:szCs w:val="28"/>
          <w:u w:val="single"/>
          <w:shd w:val="clear" w:fill="FFFFFF"/>
          <w:vertAlign w:val="baseline"/>
          <w:lang w:val="en-US" w:eastAsia="zh-CN" w:bidi="ar"/>
        </w:rPr>
        <w:t xml:space="preserve">                              </w:t>
      </w:r>
    </w:p>
    <w:p w14:paraId="3D215460">
      <w:pPr>
        <w:pStyle w:val="5"/>
        <w:ind w:left="0" w:leftChars="0" w:firstLine="0" w:firstLineChars="0"/>
        <w:rPr>
          <w:rFonts w:hint="default" w:ascii="宋体" w:hAnsi="宋体" w:eastAsia="宋体" w:cs="宋体"/>
          <w:b/>
          <w:bCs/>
          <w:i w:val="0"/>
          <w:iCs w:val="0"/>
          <w:caps w:val="0"/>
          <w:color w:val="383838"/>
          <w:spacing w:val="0"/>
          <w:kern w:val="0"/>
          <w:sz w:val="28"/>
          <w:szCs w:val="28"/>
          <w:u w:val="single"/>
          <w:shd w:val="clear" w:fill="FFFFFF"/>
          <w:vertAlign w:val="baseline"/>
          <w:lang w:val="en-US" w:eastAsia="zh-CN" w:bidi="ar"/>
        </w:rPr>
      </w:pPr>
      <w:r>
        <w:rPr>
          <w:rFonts w:hint="eastAsia" w:ascii="宋体" w:hAnsi="宋体" w:eastAsia="宋体" w:cs="宋体"/>
          <w:b/>
          <w:bCs/>
          <w:i w:val="0"/>
          <w:iCs w:val="0"/>
          <w:caps w:val="0"/>
          <w:color w:val="383838"/>
          <w:spacing w:val="0"/>
          <w:kern w:val="0"/>
          <w:sz w:val="28"/>
          <w:szCs w:val="28"/>
          <w:u w:val="none"/>
          <w:shd w:val="clear" w:fill="FFFFFF"/>
          <w:vertAlign w:val="baseline"/>
          <w:lang w:val="en-US" w:eastAsia="zh-CN" w:bidi="ar"/>
        </w:rPr>
        <w:t>联系人及电话：</w:t>
      </w:r>
      <w:r>
        <w:rPr>
          <w:rFonts w:hint="eastAsia" w:ascii="宋体" w:hAnsi="宋体" w:eastAsia="宋体" w:cs="宋体"/>
          <w:b/>
          <w:bCs/>
          <w:i w:val="0"/>
          <w:iCs w:val="0"/>
          <w:caps w:val="0"/>
          <w:color w:val="383838"/>
          <w:spacing w:val="0"/>
          <w:kern w:val="0"/>
          <w:sz w:val="28"/>
          <w:szCs w:val="28"/>
          <w:u w:val="single"/>
          <w:shd w:val="clear" w:fill="FFFFFF"/>
          <w:vertAlign w:val="baseline"/>
          <w:lang w:val="en-US" w:eastAsia="zh-CN" w:bidi="ar"/>
        </w:rPr>
        <w:t xml:space="preserve">                                      </w:t>
      </w:r>
    </w:p>
    <w:p w14:paraId="2E147922">
      <w:pPr>
        <w:pStyle w:val="5"/>
        <w:ind w:left="0" w:leftChars="0" w:firstLine="0" w:firstLineChars="0"/>
        <w:rPr>
          <w:rFonts w:hint="eastAsia" w:ascii="宋体" w:hAnsi="宋体" w:eastAsia="宋体" w:cs="宋体"/>
          <w:b/>
          <w:bCs/>
          <w:i w:val="0"/>
          <w:iCs w:val="0"/>
          <w:caps w:val="0"/>
          <w:color w:val="383838"/>
          <w:spacing w:val="0"/>
          <w:kern w:val="0"/>
          <w:sz w:val="28"/>
          <w:szCs w:val="28"/>
          <w:shd w:val="clear" w:fill="FFFFFF"/>
          <w:vertAlign w:val="baseline"/>
          <w:lang w:val="en-US" w:eastAsia="zh-CN" w:bidi="ar"/>
        </w:rPr>
      </w:pPr>
      <w:r>
        <w:rPr>
          <w:rFonts w:hint="eastAsia" w:ascii="宋体" w:hAnsi="宋体" w:eastAsia="宋体" w:cs="宋体"/>
          <w:b/>
          <w:bCs/>
          <w:i w:val="0"/>
          <w:iCs w:val="0"/>
          <w:caps w:val="0"/>
          <w:color w:val="383838"/>
          <w:spacing w:val="0"/>
          <w:kern w:val="0"/>
          <w:sz w:val="28"/>
          <w:szCs w:val="28"/>
          <w:shd w:val="clear" w:fill="FFFFFF"/>
          <w:vertAlign w:val="baseline"/>
          <w:lang w:val="en-US" w:eastAsia="zh-CN" w:bidi="ar"/>
        </w:rPr>
        <w:t>联系地址：</w:t>
      </w:r>
      <w:r>
        <w:rPr>
          <w:rFonts w:hint="eastAsia" w:ascii="宋体" w:hAnsi="宋体" w:eastAsia="宋体" w:cs="宋体"/>
          <w:b/>
          <w:bCs/>
          <w:i w:val="0"/>
          <w:iCs w:val="0"/>
          <w:caps w:val="0"/>
          <w:color w:val="383838"/>
          <w:spacing w:val="0"/>
          <w:kern w:val="0"/>
          <w:sz w:val="28"/>
          <w:szCs w:val="28"/>
          <w:u w:val="single"/>
          <w:shd w:val="clear" w:fill="FFFFFF"/>
          <w:vertAlign w:val="baseline"/>
          <w:lang w:val="en-US" w:eastAsia="zh-CN" w:bidi="ar"/>
        </w:rPr>
        <w:t xml:space="preserve">                                          </w:t>
      </w:r>
    </w:p>
    <w:p w14:paraId="2188727A">
      <w:pPr>
        <w:pStyle w:val="5"/>
        <w:ind w:left="0" w:leftChars="0" w:firstLine="0" w:firstLineChars="0"/>
        <w:rPr>
          <w:rFonts w:hint="default" w:ascii="宋体" w:hAnsi="宋体" w:eastAsia="宋体" w:cs="宋体"/>
          <w:b/>
          <w:bCs/>
          <w:i w:val="0"/>
          <w:iCs w:val="0"/>
          <w:caps w:val="0"/>
          <w:color w:val="383838"/>
          <w:spacing w:val="0"/>
          <w:kern w:val="0"/>
          <w:sz w:val="28"/>
          <w:szCs w:val="28"/>
          <w:shd w:val="clear" w:fill="FFFFFF"/>
          <w:vertAlign w:val="baseline"/>
          <w:lang w:val="en-US" w:eastAsia="zh-CN" w:bidi="ar"/>
        </w:rPr>
      </w:pPr>
      <w:r>
        <w:rPr>
          <w:rFonts w:hint="eastAsia" w:ascii="宋体" w:hAnsi="宋体" w:eastAsia="宋体" w:cs="宋体"/>
          <w:b/>
          <w:bCs/>
          <w:i w:val="0"/>
          <w:iCs w:val="0"/>
          <w:caps w:val="0"/>
          <w:color w:val="383838"/>
          <w:spacing w:val="0"/>
          <w:kern w:val="0"/>
          <w:sz w:val="28"/>
          <w:szCs w:val="28"/>
          <w:shd w:val="clear" w:fill="FFFFFF"/>
          <w:vertAlign w:val="baseline"/>
          <w:lang w:val="en-US" w:eastAsia="zh-CN" w:bidi="ar"/>
        </w:rPr>
        <w:t>日期：</w:t>
      </w:r>
      <w:r>
        <w:rPr>
          <w:rFonts w:hint="eastAsia" w:ascii="宋体" w:hAnsi="宋体" w:eastAsia="宋体" w:cs="宋体"/>
          <w:b/>
          <w:bCs/>
          <w:i w:val="0"/>
          <w:iCs w:val="0"/>
          <w:caps w:val="0"/>
          <w:color w:val="383838"/>
          <w:spacing w:val="0"/>
          <w:kern w:val="0"/>
          <w:sz w:val="28"/>
          <w:szCs w:val="28"/>
          <w:u w:val="single"/>
          <w:shd w:val="clear" w:fill="FFFFFF"/>
          <w:vertAlign w:val="baseline"/>
          <w:lang w:val="en-US" w:eastAsia="zh-CN" w:bidi="ar"/>
        </w:rPr>
        <w:t xml:space="preserve">                                              </w:t>
      </w:r>
    </w:p>
    <w:p w14:paraId="0702EAA8">
      <w:pPr>
        <w:pStyle w:val="5"/>
        <w:rPr>
          <w:rFonts w:hint="eastAsia" w:asciiTheme="minorEastAsia" w:hAnsiTheme="minorEastAsia" w:eastAsiaTheme="minorEastAsia" w:cstheme="minorEastAsia"/>
          <w:b/>
          <w:bCs/>
          <w:sz w:val="24"/>
          <w:szCs w:val="24"/>
          <w:lang w:val="en-US" w:eastAsia="zh-CN"/>
        </w:rPr>
      </w:pPr>
    </w:p>
    <w:p w14:paraId="51E0414A">
      <w:pPr>
        <w:pStyle w:val="5"/>
        <w:ind w:left="0" w:leftChars="0" w:firstLine="0" w:firstLineChars="0"/>
        <w:rPr>
          <w:rFonts w:hint="default" w:asciiTheme="minorEastAsia" w:hAnsiTheme="minorEastAsia" w:eastAsiaTheme="minorEastAsia" w:cstheme="minorEastAsia"/>
          <w:b/>
          <w:bCs/>
          <w:kern w:val="2"/>
          <w:sz w:val="24"/>
          <w:szCs w:val="24"/>
          <w:lang w:val="en-US" w:eastAsia="zh-CN" w:bidi="ar-SA"/>
        </w:rPr>
      </w:pPr>
    </w:p>
    <w:p w14:paraId="18AE6A0F">
      <w:pPr>
        <w:pStyle w:val="5"/>
        <w:ind w:left="0" w:leftChars="0" w:firstLine="0" w:firstLineChars="0"/>
        <w:rPr>
          <w:rFonts w:hint="eastAsia" w:ascii="宋体" w:hAnsi="宋体" w:eastAsia="宋体" w:cs="宋体"/>
          <w:b/>
          <w:bCs/>
          <w:i w:val="0"/>
          <w:iCs w:val="0"/>
          <w:caps w:val="0"/>
          <w:color w:val="383838"/>
          <w:spacing w:val="0"/>
          <w:kern w:val="0"/>
          <w:sz w:val="28"/>
          <w:szCs w:val="28"/>
          <w:shd w:val="clear" w:fill="FFFFFF"/>
          <w:vertAlign w:val="baseline"/>
          <w:lang w:val="en-US" w:eastAsia="zh-CN" w:bidi="ar"/>
        </w:rPr>
      </w:pPr>
      <w:r>
        <w:rPr>
          <w:rFonts w:hint="eastAsia" w:ascii="宋体" w:hAnsi="宋体" w:eastAsia="宋体" w:cs="宋体"/>
          <w:b/>
          <w:bCs/>
          <w:i w:val="0"/>
          <w:iCs w:val="0"/>
          <w:caps w:val="0"/>
          <w:color w:val="383838"/>
          <w:spacing w:val="0"/>
          <w:kern w:val="0"/>
          <w:sz w:val="28"/>
          <w:szCs w:val="28"/>
          <w:shd w:val="clear" w:fill="FFFFFF"/>
          <w:vertAlign w:val="baseline"/>
          <w:lang w:val="en-US" w:eastAsia="zh-CN" w:bidi="ar"/>
        </w:rPr>
        <w:t>附带：营业执照</w:t>
      </w:r>
    </w:p>
    <w:p w14:paraId="57072692">
      <w:pPr>
        <w:jc w:val="both"/>
        <w:rPr>
          <w:rFonts w:hint="eastAsia"/>
          <w:b/>
          <w:sz w:val="32"/>
          <w:szCs w:val="32"/>
          <w:lang w:eastAsia="zh-CN"/>
        </w:rPr>
      </w:pPr>
    </w:p>
    <w:p w14:paraId="7CFE4A1E">
      <w:pPr>
        <w:jc w:val="both"/>
        <w:rPr>
          <w:rFonts w:hint="eastAsia"/>
          <w:b/>
          <w:sz w:val="32"/>
          <w:szCs w:val="32"/>
          <w:lang w:eastAsia="zh-CN"/>
        </w:rPr>
      </w:pPr>
      <w:bookmarkStart w:id="0" w:name="_GoBack"/>
      <w:bookmarkEnd w:id="0"/>
    </w:p>
    <w:p w14:paraId="06CB498F">
      <w:pPr>
        <w:jc w:val="center"/>
        <w:rPr>
          <w:rFonts w:hint="eastAsia"/>
          <w:b/>
          <w:sz w:val="32"/>
          <w:szCs w:val="32"/>
          <w:lang w:eastAsia="zh-CN"/>
        </w:rPr>
      </w:pPr>
      <w:r>
        <w:rPr>
          <w:rFonts w:hint="eastAsia"/>
          <w:b/>
          <w:sz w:val="32"/>
          <w:szCs w:val="32"/>
          <w:lang w:eastAsia="zh-CN"/>
        </w:rPr>
        <w:t>普宁市洪阳镇污水处理厂扩建、提标改造及新增配套管网建设工程排口溯源摸查服务</w:t>
      </w:r>
      <w:r>
        <w:rPr>
          <w:rFonts w:hint="eastAsia"/>
          <w:b/>
          <w:sz w:val="32"/>
          <w:szCs w:val="32"/>
        </w:rPr>
        <w:t>需求</w:t>
      </w:r>
      <w:r>
        <w:rPr>
          <w:rFonts w:hint="eastAsia"/>
          <w:b/>
          <w:sz w:val="32"/>
          <w:szCs w:val="32"/>
          <w:lang w:eastAsia="zh-CN"/>
        </w:rPr>
        <w:t>书</w:t>
      </w:r>
    </w:p>
    <w:p w14:paraId="50E2DE45">
      <w:pPr>
        <w:spacing w:line="480" w:lineRule="auto"/>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rPr>
        <w:t>一、管网溯源摸排</w:t>
      </w:r>
    </w:p>
    <w:p w14:paraId="406C58CB">
      <w:pPr>
        <w:spacing w:line="480" w:lineRule="auto"/>
        <w:ind w:firstLine="280" w:firstLineChars="100"/>
        <w:jc w:val="left"/>
        <w:rPr>
          <w:rFonts w:hint="eastAsia" w:ascii="宋体" w:hAnsi="宋体" w:eastAsia="宋体" w:cs="宋体"/>
          <w:b w:val="0"/>
          <w:bCs w:val="0"/>
          <w:sz w:val="28"/>
          <w:szCs w:val="28"/>
        </w:rPr>
      </w:pPr>
      <w:r>
        <w:rPr>
          <w:rFonts w:hint="eastAsia" w:ascii="宋体" w:hAnsi="宋体" w:eastAsia="宋体" w:cs="宋体"/>
          <w:b w:val="0"/>
          <w:bCs w:val="0"/>
          <w:sz w:val="28"/>
          <w:szCs w:val="28"/>
        </w:rPr>
        <w:t>（一）摸排范围及内容</w:t>
      </w:r>
    </w:p>
    <w:p w14:paraId="57BD2B47">
      <w:pPr>
        <w:spacing w:line="480" w:lineRule="auto"/>
        <w:jc w:val="left"/>
        <w:rPr>
          <w:rFonts w:hint="eastAsia" w:ascii="宋体" w:hAnsi="宋体" w:eastAsia="宋体" w:cs="宋体"/>
          <w:sz w:val="28"/>
          <w:szCs w:val="28"/>
        </w:rPr>
      </w:pPr>
      <w:r>
        <w:rPr>
          <w:rFonts w:hint="eastAsia" w:ascii="宋体" w:hAnsi="宋体" w:eastAsia="宋体" w:cs="宋体"/>
          <w:sz w:val="28"/>
          <w:szCs w:val="28"/>
        </w:rPr>
        <w:t>本工程拟对洪阳镇中心镇区两个居委会和13个村及镇区外三个农村的区域范围内市政道路下排水管线及片区内污水设施至市政道路的排水管线污染源进行目视摸查溯源，总溯源摸查管网数量为180km，溯源摸查优先顺序为排口上游溯源、市政道路下主支雨污干管及其混接、错接管网，大小巷子的巷道（7米以上）下管线，总溯源管网摸查数量≥180km。</w:t>
      </w:r>
    </w:p>
    <w:p w14:paraId="0E1A119F">
      <w:p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对于集中居住小区和企事业单位及村社，需溯源排查至（村口、巷口、巷道口、企事业单位外接第一个接驳井），并量测排查集中居住小区和企事业单位雨污水外第一个接驳井接出口管底标高及水位及雨污水接出口下游市政管道管内底标高及水位、淤积情况，村社内非市政道路下主干管连接的企事业单位不在本次溯源摸查范围内；</w:t>
      </w:r>
    </w:p>
    <w:p w14:paraId="3B68175C">
      <w:pPr>
        <w:spacing w:line="480" w:lineRule="auto"/>
        <w:ind w:firstLine="560" w:firstLineChars="200"/>
        <w:jc w:val="left"/>
        <w:rPr>
          <w:rFonts w:hint="eastAsia" w:ascii="宋体" w:hAnsi="宋体" w:eastAsia="宋体" w:cs="宋体"/>
          <w:b w:val="0"/>
          <w:bCs w:val="0"/>
          <w:sz w:val="28"/>
          <w:szCs w:val="28"/>
          <w:lang w:eastAsia="zh-CN"/>
        </w:rPr>
      </w:pPr>
      <w:r>
        <w:rPr>
          <w:rFonts w:hint="eastAsia" w:ascii="宋体" w:hAnsi="宋体" w:eastAsia="宋体" w:cs="宋体"/>
          <w:sz w:val="28"/>
          <w:szCs w:val="28"/>
          <w:lang w:val="en-US" w:eastAsia="zh-CN"/>
        </w:rPr>
        <w:t>2、</w:t>
      </w:r>
      <w:r>
        <w:rPr>
          <w:rFonts w:hint="eastAsia" w:ascii="宋体" w:hAnsi="宋体" w:eastAsia="宋体" w:cs="宋体"/>
          <w:sz w:val="28"/>
          <w:szCs w:val="28"/>
        </w:rPr>
        <w:t>对于老旧民房，溯源排查至巷口（巷道口、民房区域外接第一个接驳井），排查雨污水接出口管底标高及水位及雨污水接出口下游市政管道管内底标高及水位、淤积情况，村社内及集中居住的民房区域内部非市政道路下主干管连接</w:t>
      </w:r>
      <w:r>
        <w:rPr>
          <w:rFonts w:hint="eastAsia" w:ascii="宋体" w:hAnsi="宋体" w:eastAsia="宋体" w:cs="宋体"/>
          <w:b w:val="0"/>
          <w:bCs w:val="0"/>
          <w:sz w:val="28"/>
          <w:szCs w:val="28"/>
        </w:rPr>
        <w:t>的企事业单位不在本次溯源摸查范围内；</w:t>
      </w:r>
    </w:p>
    <w:p w14:paraId="1C486E96">
      <w:pPr>
        <w:spacing w:line="480" w:lineRule="auto"/>
        <w:ind w:firstLine="560" w:firstLineChars="200"/>
        <w:jc w:val="left"/>
        <w:rPr>
          <w:rFonts w:hint="eastAsia" w:ascii="宋体" w:hAnsi="宋体" w:eastAsia="宋体" w:cs="宋体"/>
          <w:b w:val="0"/>
          <w:bCs w:val="0"/>
          <w:sz w:val="28"/>
          <w:szCs w:val="28"/>
        </w:rPr>
      </w:pPr>
      <w:r>
        <w:rPr>
          <w:rFonts w:hint="eastAsia" w:ascii="宋体" w:hAnsi="宋体" w:eastAsia="宋体" w:cs="宋体"/>
          <w:b w:val="0"/>
          <w:bCs w:val="0"/>
          <w:sz w:val="28"/>
          <w:szCs w:val="28"/>
        </w:rPr>
        <w:t>（二）摸排要求</w:t>
      </w:r>
    </w:p>
    <w:p w14:paraId="4032CA5C">
      <w:p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1、排水管网探测</w:t>
      </w:r>
    </w:p>
    <w:p w14:paraId="0B05E4E2">
      <w:p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目测探测区域范围内市政、城中村（区域内接出接驳井外）雨污管网和沿河截流管的综合信息，记录管网性质、管径、材质、埋深、附属物等，记录雨污合流情况、雨污混接调查等。</w:t>
      </w:r>
    </w:p>
    <w:p w14:paraId="09604CB2">
      <w:p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2、排口溯源调查</w:t>
      </w:r>
    </w:p>
    <w:p w14:paraId="1E3AFCE2">
      <w:p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应对河道汇水范围内排水系统开展量测、目测，对直接排放入河的现状排污口的种类、数量与具体位置，调查内容包括以下方面：</w:t>
      </w:r>
    </w:p>
    <w:p w14:paraId="3DC740CF">
      <w:pPr>
        <w:numPr>
          <w:ilvl w:val="0"/>
          <w:numId w:val="0"/>
        </w:num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w:t>
      </w:r>
      <w:r>
        <w:rPr>
          <w:rFonts w:hint="eastAsia" w:ascii="宋体" w:hAnsi="宋体" w:eastAsia="宋体" w:cs="宋体"/>
          <w:sz w:val="28"/>
          <w:szCs w:val="28"/>
        </w:rPr>
        <w:t>应量测和目测排水管道位置、走向、类别、管材、管径、高程、水位和检查井坐标、排口的位置、尺寸、高程和排放情况等。</w:t>
      </w:r>
    </w:p>
    <w:p w14:paraId="1D8B4217">
      <w:pPr>
        <w:numPr>
          <w:ilvl w:val="0"/>
          <w:numId w:val="0"/>
        </w:num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2）</w:t>
      </w:r>
      <w:r>
        <w:rPr>
          <w:rFonts w:hint="eastAsia" w:ascii="宋体" w:hAnsi="宋体" w:eastAsia="宋体" w:cs="宋体"/>
          <w:sz w:val="28"/>
          <w:szCs w:val="28"/>
        </w:rPr>
        <w:t>应目测和量测排水设施的运行情况、管道位置、管道淤积深度、合流管晴天溢流、探测范围内排水户市政道路管道接管等情况。</w:t>
      </w:r>
    </w:p>
    <w:p w14:paraId="1F380AA6">
      <w:pPr>
        <w:numPr>
          <w:ilvl w:val="0"/>
          <w:numId w:val="0"/>
        </w:num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3）</w:t>
      </w:r>
      <w:r>
        <w:rPr>
          <w:rFonts w:hint="eastAsia" w:ascii="宋体" w:hAnsi="宋体" w:eastAsia="宋体" w:cs="宋体"/>
          <w:sz w:val="28"/>
          <w:szCs w:val="28"/>
        </w:rPr>
        <w:t>基本参数调查：以排水口为单元，排口类型及流水情况、溯源区域外接出接驳井点井编号、源头类型（小区/城中村）、源头位置、地块属性、所属分区、问题类型、源头点流水路径、源头点及上游汇流节点水质快检情况等信息。</w:t>
      </w:r>
    </w:p>
    <w:p w14:paraId="004B65C4">
      <w:pPr>
        <w:numPr>
          <w:ilvl w:val="0"/>
          <w:numId w:val="0"/>
        </w:num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4）</w:t>
      </w:r>
      <w:r>
        <w:rPr>
          <w:rFonts w:hint="eastAsia" w:ascii="宋体" w:hAnsi="宋体" w:eastAsia="宋体" w:cs="宋体"/>
          <w:sz w:val="28"/>
          <w:szCs w:val="28"/>
        </w:rPr>
        <w:t>逐本溯源排查：从排水口出口开始，向上游（来水方向）进行目视追溯，查清污水接入点（区域内接出接驳井），即目测可视的混接点、污篦子、小区、工厂或城中村污水接入点（区域内接出接驳井）位置。除旱天管道内干涸且无排水痕迹（排除间歇排放）的管段外，均需查明从出口至污水接入点（区域内接出接驳井）路径。</w:t>
      </w:r>
    </w:p>
    <w:p w14:paraId="54C8C77D">
      <w:pPr>
        <w:spacing w:line="480" w:lineRule="auto"/>
        <w:jc w:val="left"/>
        <w:rPr>
          <w:rFonts w:hint="eastAsia" w:ascii="宋体" w:hAnsi="宋体" w:eastAsia="宋体" w:cs="宋体"/>
          <w:sz w:val="28"/>
          <w:szCs w:val="28"/>
        </w:rPr>
      </w:pPr>
      <w:r>
        <w:rPr>
          <w:rFonts w:hint="eastAsia" w:ascii="宋体" w:hAnsi="宋体" w:eastAsia="宋体" w:cs="宋体"/>
          <w:sz w:val="28"/>
          <w:szCs w:val="28"/>
        </w:rPr>
        <w:t>对于晴天管道内干涸且无排水痕迹（排除间歇排放）的无水排口，需向上溯源2~3个检查井，确认上游管段是否设置截流设施，若设置，从设置截流设施的截流井处，进行截流井专项目视溯源；对于晴天管道内有水流（包含间歇性排放）的有水排口，均需目视查明从出口至污水接入点（区域内接出接驳井）路径。</w:t>
      </w:r>
    </w:p>
    <w:p w14:paraId="4A47AFD3">
      <w:p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（5）重点片区非村社内和非集中居住区内重点排水户的水质调查以及重要节点井的水质快速检测。</w:t>
      </w:r>
    </w:p>
    <w:p w14:paraId="6D2D0E16">
      <w:p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（6）通过目视和量测查明排水箱涵（暗涵封闭超过30米的除外）平面位置、尺寸、埋深、走向，内部可见的错混接、暗接、淤积、水质情况。</w:t>
      </w:r>
    </w:p>
    <w:p w14:paraId="25973111">
      <w:p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（7）其他要求</w:t>
      </w:r>
    </w:p>
    <w:p w14:paraId="447808B8">
      <w:pPr>
        <w:spacing w:line="480" w:lineRule="auto"/>
        <w:ind w:firstLine="840" w:firstLineChars="300"/>
        <w:jc w:val="left"/>
        <w:rPr>
          <w:rFonts w:hint="eastAsia" w:ascii="宋体" w:hAnsi="宋体" w:eastAsia="宋体" w:cs="宋体"/>
          <w:sz w:val="28"/>
          <w:szCs w:val="28"/>
        </w:rPr>
      </w:pPr>
      <w:r>
        <w:rPr>
          <w:rFonts w:hint="eastAsia" w:ascii="宋体" w:hAnsi="宋体" w:eastAsia="宋体" w:cs="宋体"/>
          <w:sz w:val="28"/>
          <w:szCs w:val="28"/>
        </w:rPr>
        <w:t>1）对于集中居住小区和企事业单位及村社，需目视溯源排查至（村口、巷口、巷道口、企事业单位外接出的第一个接驳井），并通过目视和量测排查集中居住小区和企事业单位雨污水外第一个接驳井接出口管底标高及水位及雨污水接出口下游市政管道管内底标高及水位、淤积情况，村社内非市政道路下主干管连接的企事业单位不在本次溯源摸查范围内；</w:t>
      </w:r>
    </w:p>
    <w:p w14:paraId="49AF3893">
      <w:pPr>
        <w:spacing w:line="480" w:lineRule="auto"/>
        <w:ind w:firstLine="840" w:firstLineChars="300"/>
        <w:jc w:val="left"/>
        <w:rPr>
          <w:rFonts w:hint="eastAsia" w:ascii="宋体" w:hAnsi="宋体" w:eastAsia="宋体" w:cs="宋体"/>
          <w:sz w:val="28"/>
          <w:szCs w:val="28"/>
        </w:rPr>
      </w:pPr>
      <w:r>
        <w:rPr>
          <w:rFonts w:hint="eastAsia" w:ascii="宋体" w:hAnsi="宋体" w:eastAsia="宋体" w:cs="宋体"/>
          <w:sz w:val="28"/>
          <w:szCs w:val="28"/>
        </w:rPr>
        <w:t>2）对于老旧民房，目视溯源排查至巷口（巷道口、民房区域外接出的第一个接驳井），并通过目视和量测排查雨污水接出口管底标高及水位及雨污水接出口下游市政管道管内底标高及水位、淤积情况，村社内及集中居住的民房区域内部非市政道路下主干管连接的企事业单位不在本次溯源摸查范围内；</w:t>
      </w:r>
    </w:p>
    <w:p w14:paraId="7EA05F55">
      <w:pPr>
        <w:spacing w:line="480" w:lineRule="auto"/>
        <w:ind w:firstLine="560" w:firstLineChars="200"/>
        <w:jc w:val="left"/>
        <w:rPr>
          <w:rFonts w:hint="eastAsia" w:ascii="宋体" w:hAnsi="宋体" w:eastAsia="宋体" w:cs="宋体"/>
          <w:b w:val="0"/>
          <w:bCs w:val="0"/>
          <w:sz w:val="28"/>
          <w:szCs w:val="28"/>
        </w:rPr>
      </w:pPr>
      <w:r>
        <w:rPr>
          <w:rFonts w:hint="eastAsia" w:ascii="宋体" w:hAnsi="宋体" w:eastAsia="宋体" w:cs="宋体"/>
          <w:b w:val="0"/>
          <w:bCs w:val="0"/>
          <w:sz w:val="28"/>
          <w:szCs w:val="28"/>
        </w:rPr>
        <w:t>（三）成果要求：</w:t>
      </w:r>
    </w:p>
    <w:p w14:paraId="2BFBB759">
      <w:p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图纸</w:t>
      </w:r>
    </w:p>
    <w:p w14:paraId="1112D956">
      <w:pPr>
        <w:spacing w:line="480" w:lineRule="auto"/>
        <w:jc w:val="left"/>
        <w:rPr>
          <w:rFonts w:hint="eastAsia" w:ascii="宋体" w:hAnsi="宋体" w:eastAsia="宋体" w:cs="宋体"/>
          <w:sz w:val="28"/>
          <w:szCs w:val="28"/>
        </w:rPr>
      </w:pPr>
      <w:r>
        <w:rPr>
          <w:rFonts w:hint="eastAsia" w:ascii="宋体" w:hAnsi="宋体" w:eastAsia="宋体" w:cs="宋体"/>
          <w:sz w:val="28"/>
          <w:szCs w:val="28"/>
        </w:rPr>
        <w:t>图纸成果应使用与所提供的测量及物探成果相一致的平面坐标和高程系统；成果底图比例尺采用1:1000。图纸应明确各类排水管线的类别、管径、标高、走向等信息。成果数据应按照统一的数据格式标准，编绘以地形图（由业主单位负责提供，并保留加盖公章的移交函）为载体的排水管网CAD图。</w:t>
      </w:r>
    </w:p>
    <w:p w14:paraId="21BEB3BD">
      <w:p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摸查溯源成果表</w:t>
      </w:r>
    </w:p>
    <w:p w14:paraId="080FD159">
      <w:pPr>
        <w:spacing w:line="480" w:lineRule="auto"/>
        <w:jc w:val="left"/>
        <w:rPr>
          <w:rFonts w:hint="eastAsia" w:ascii="宋体" w:hAnsi="宋体" w:eastAsia="宋体" w:cs="宋体"/>
          <w:sz w:val="28"/>
          <w:szCs w:val="28"/>
        </w:rPr>
      </w:pPr>
      <w:r>
        <w:rPr>
          <w:rFonts w:hint="eastAsia" w:ascii="宋体" w:hAnsi="宋体" w:eastAsia="宋体" w:cs="宋体"/>
          <w:sz w:val="28"/>
          <w:szCs w:val="28"/>
        </w:rPr>
        <w:t>对现场调查记录表进行校核，形成摸查溯源成果资料。成果资料应包含排污口（含溢流口）目测和量测的调查成果。成果资料中应包含“摸查项目内容及要求”中的关键信息。</w:t>
      </w:r>
    </w:p>
    <w:p w14:paraId="7E7B3582">
      <w:pPr>
        <w:spacing w:line="480" w:lineRule="auto"/>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rPr>
        <w:t>三、设备基本要求</w:t>
      </w:r>
    </w:p>
    <w:tbl>
      <w:tblPr>
        <w:tblStyle w:val="6"/>
        <w:tblW w:w="0" w:type="auto"/>
        <w:tblInd w:w="12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995"/>
        <w:gridCol w:w="4919"/>
        <w:gridCol w:w="2206"/>
      </w:tblGrid>
      <w:tr w14:paraId="2FAB2D8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120" w:type="dxa"/>
            <w:gridSpan w:val="3"/>
            <w:tcBorders>
              <w:top w:val="single" w:color="000000" w:sz="4" w:space="0"/>
              <w:left w:val="single" w:color="000000" w:sz="4" w:space="0"/>
              <w:bottom w:val="single" w:color="000000" w:sz="4" w:space="0"/>
              <w:right w:val="single" w:color="000000" w:sz="4" w:space="0"/>
            </w:tcBorders>
            <w:vAlign w:val="center"/>
          </w:tcPr>
          <w:p w14:paraId="2369E676">
            <w:pPr>
              <w:spacing w:line="480" w:lineRule="auto"/>
              <w:jc w:val="center"/>
              <w:rPr>
                <w:rFonts w:hint="eastAsia" w:ascii="宋体" w:hAnsi="宋体" w:eastAsia="宋体" w:cs="宋体"/>
                <w:sz w:val="28"/>
                <w:szCs w:val="28"/>
              </w:rPr>
            </w:pPr>
            <w:r>
              <w:rPr>
                <w:rFonts w:hint="eastAsia" w:ascii="宋体" w:hAnsi="宋体" w:eastAsia="宋体" w:cs="宋体"/>
                <w:sz w:val="28"/>
                <w:szCs w:val="28"/>
              </w:rPr>
              <w:t>设备基本要求一览表</w:t>
            </w:r>
          </w:p>
        </w:tc>
      </w:tr>
      <w:tr w14:paraId="77AAFEA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995" w:type="dxa"/>
            <w:tcBorders>
              <w:top w:val="nil"/>
              <w:left w:val="single" w:color="000000" w:sz="4" w:space="0"/>
              <w:bottom w:val="single" w:color="000000" w:sz="4" w:space="0"/>
              <w:right w:val="single" w:color="000000" w:sz="4" w:space="0"/>
            </w:tcBorders>
            <w:vAlign w:val="center"/>
          </w:tcPr>
          <w:p w14:paraId="2258F70A">
            <w:pPr>
              <w:spacing w:line="480" w:lineRule="auto"/>
              <w:jc w:val="center"/>
              <w:rPr>
                <w:rFonts w:hint="eastAsia" w:ascii="宋体" w:hAnsi="宋体" w:eastAsia="宋体" w:cs="宋体"/>
                <w:sz w:val="28"/>
                <w:szCs w:val="28"/>
              </w:rPr>
            </w:pPr>
            <w:r>
              <w:rPr>
                <w:rFonts w:hint="eastAsia" w:ascii="宋体" w:hAnsi="宋体" w:eastAsia="宋体" w:cs="宋体"/>
                <w:sz w:val="28"/>
                <w:szCs w:val="28"/>
              </w:rPr>
              <w:t>序号</w:t>
            </w:r>
          </w:p>
        </w:tc>
        <w:tc>
          <w:tcPr>
            <w:tcW w:w="4919" w:type="dxa"/>
            <w:tcBorders>
              <w:top w:val="single" w:color="000000" w:sz="4" w:space="0"/>
              <w:left w:val="single" w:color="000000" w:sz="4" w:space="0"/>
              <w:bottom w:val="single" w:color="000000" w:sz="4" w:space="0"/>
              <w:right w:val="single" w:color="000000" w:sz="4" w:space="0"/>
            </w:tcBorders>
            <w:vAlign w:val="center"/>
          </w:tcPr>
          <w:p w14:paraId="415BD4E9">
            <w:pPr>
              <w:spacing w:line="480" w:lineRule="auto"/>
              <w:jc w:val="center"/>
              <w:rPr>
                <w:rFonts w:hint="eastAsia" w:ascii="宋体" w:hAnsi="宋体" w:eastAsia="宋体" w:cs="宋体"/>
                <w:sz w:val="28"/>
                <w:szCs w:val="28"/>
              </w:rPr>
            </w:pPr>
            <w:r>
              <w:rPr>
                <w:rFonts w:hint="eastAsia" w:ascii="宋体" w:hAnsi="宋体" w:eastAsia="宋体" w:cs="宋体"/>
                <w:sz w:val="28"/>
                <w:szCs w:val="28"/>
              </w:rPr>
              <w:t>设备名称</w:t>
            </w:r>
          </w:p>
        </w:tc>
        <w:tc>
          <w:tcPr>
            <w:tcW w:w="2206" w:type="dxa"/>
            <w:tcBorders>
              <w:top w:val="single" w:color="000000" w:sz="4" w:space="0"/>
              <w:left w:val="single" w:color="000000" w:sz="4" w:space="0"/>
              <w:bottom w:val="single" w:color="000000" w:sz="4" w:space="0"/>
              <w:right w:val="single" w:color="000000" w:sz="4" w:space="0"/>
            </w:tcBorders>
            <w:vAlign w:val="center"/>
          </w:tcPr>
          <w:p w14:paraId="666A7EBA">
            <w:pPr>
              <w:spacing w:line="480" w:lineRule="auto"/>
              <w:jc w:val="center"/>
              <w:rPr>
                <w:rFonts w:hint="eastAsia" w:ascii="宋体" w:hAnsi="宋体" w:eastAsia="宋体" w:cs="宋体"/>
                <w:sz w:val="28"/>
                <w:szCs w:val="28"/>
              </w:rPr>
            </w:pPr>
            <w:r>
              <w:rPr>
                <w:rFonts w:hint="eastAsia" w:ascii="宋体" w:hAnsi="宋体" w:eastAsia="宋体" w:cs="宋体"/>
                <w:sz w:val="28"/>
                <w:szCs w:val="28"/>
              </w:rPr>
              <w:t>数量</w:t>
            </w:r>
          </w:p>
        </w:tc>
      </w:tr>
      <w:tr w14:paraId="3AAA576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995" w:type="dxa"/>
            <w:tcBorders>
              <w:top w:val="nil"/>
              <w:left w:val="single" w:color="000000" w:sz="4" w:space="0"/>
              <w:bottom w:val="single" w:color="000000" w:sz="4" w:space="0"/>
              <w:right w:val="single" w:color="000000" w:sz="4" w:space="0"/>
            </w:tcBorders>
            <w:vAlign w:val="center"/>
          </w:tcPr>
          <w:p w14:paraId="38B0DF2C">
            <w:pPr>
              <w:spacing w:line="480" w:lineRule="auto"/>
              <w:jc w:val="center"/>
              <w:rPr>
                <w:rFonts w:hint="eastAsia" w:ascii="宋体" w:hAnsi="宋体" w:eastAsia="宋体" w:cs="宋体"/>
                <w:sz w:val="28"/>
                <w:szCs w:val="28"/>
              </w:rPr>
            </w:pPr>
            <w:r>
              <w:rPr>
                <w:rFonts w:hint="eastAsia" w:ascii="宋体" w:hAnsi="宋体" w:eastAsia="宋体" w:cs="宋体"/>
                <w:sz w:val="28"/>
                <w:szCs w:val="28"/>
              </w:rPr>
              <w:t>1</w:t>
            </w:r>
          </w:p>
        </w:tc>
        <w:tc>
          <w:tcPr>
            <w:tcW w:w="4919" w:type="dxa"/>
            <w:tcBorders>
              <w:top w:val="nil"/>
              <w:left w:val="single" w:color="000000" w:sz="4" w:space="0"/>
              <w:bottom w:val="single" w:color="000000" w:sz="4" w:space="0"/>
              <w:right w:val="single" w:color="000000" w:sz="4" w:space="0"/>
            </w:tcBorders>
            <w:vAlign w:val="center"/>
          </w:tcPr>
          <w:p w14:paraId="2F46B477">
            <w:pPr>
              <w:spacing w:line="480" w:lineRule="auto"/>
              <w:jc w:val="center"/>
              <w:rPr>
                <w:rFonts w:hint="eastAsia" w:ascii="宋体" w:hAnsi="宋体" w:eastAsia="宋体" w:cs="宋体"/>
                <w:sz w:val="28"/>
                <w:szCs w:val="28"/>
              </w:rPr>
            </w:pPr>
            <w:r>
              <w:rPr>
                <w:rFonts w:hint="eastAsia" w:ascii="宋体" w:hAnsi="宋体" w:eastAsia="宋体" w:cs="宋体"/>
                <w:sz w:val="28"/>
                <w:szCs w:val="28"/>
              </w:rPr>
              <w:t>RTK</w:t>
            </w:r>
          </w:p>
        </w:tc>
        <w:tc>
          <w:tcPr>
            <w:tcW w:w="2206" w:type="dxa"/>
            <w:tcBorders>
              <w:top w:val="nil"/>
              <w:left w:val="single" w:color="000000" w:sz="4" w:space="0"/>
              <w:bottom w:val="single" w:color="000000" w:sz="4" w:space="0"/>
              <w:right w:val="single" w:color="000000" w:sz="4" w:space="0"/>
            </w:tcBorders>
            <w:vAlign w:val="center"/>
          </w:tcPr>
          <w:p w14:paraId="2863A082">
            <w:pPr>
              <w:spacing w:line="480" w:lineRule="auto"/>
              <w:jc w:val="center"/>
              <w:rPr>
                <w:rFonts w:hint="eastAsia" w:ascii="宋体" w:hAnsi="宋体" w:eastAsia="宋体" w:cs="宋体"/>
                <w:sz w:val="28"/>
                <w:szCs w:val="28"/>
              </w:rPr>
            </w:pPr>
            <w:r>
              <w:rPr>
                <w:rFonts w:hint="eastAsia" w:ascii="宋体" w:hAnsi="宋体" w:eastAsia="宋体" w:cs="宋体"/>
                <w:sz w:val="28"/>
                <w:szCs w:val="28"/>
              </w:rPr>
              <w:t>2</w:t>
            </w:r>
          </w:p>
        </w:tc>
      </w:tr>
      <w:tr w14:paraId="11C2C52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07" w:hRule="atLeast"/>
        </w:trPr>
        <w:tc>
          <w:tcPr>
            <w:tcW w:w="995" w:type="dxa"/>
            <w:tcBorders>
              <w:top w:val="single" w:color="auto" w:sz="4" w:space="0"/>
              <w:left w:val="single" w:color="auto" w:sz="4" w:space="0"/>
              <w:bottom w:val="single" w:color="auto" w:sz="4" w:space="0"/>
              <w:right w:val="single" w:color="auto" w:sz="4" w:space="0"/>
            </w:tcBorders>
            <w:vAlign w:val="center"/>
          </w:tcPr>
          <w:p w14:paraId="126FEFC0">
            <w:pPr>
              <w:spacing w:line="480" w:lineRule="auto"/>
              <w:jc w:val="center"/>
              <w:rPr>
                <w:rFonts w:hint="eastAsia" w:ascii="宋体" w:hAnsi="宋体" w:eastAsia="宋体" w:cs="宋体"/>
                <w:sz w:val="28"/>
                <w:szCs w:val="28"/>
              </w:rPr>
            </w:pPr>
            <w:r>
              <w:rPr>
                <w:rFonts w:hint="eastAsia" w:ascii="宋体" w:hAnsi="宋体" w:eastAsia="宋体" w:cs="宋体"/>
                <w:sz w:val="28"/>
                <w:szCs w:val="28"/>
              </w:rPr>
              <w:t>2</w:t>
            </w:r>
          </w:p>
        </w:tc>
        <w:tc>
          <w:tcPr>
            <w:tcW w:w="4919" w:type="dxa"/>
            <w:tcBorders>
              <w:top w:val="single" w:color="auto" w:sz="4" w:space="0"/>
              <w:left w:val="single" w:color="auto" w:sz="4" w:space="0"/>
              <w:bottom w:val="single" w:color="auto" w:sz="4" w:space="0"/>
              <w:right w:val="single" w:color="auto" w:sz="4" w:space="0"/>
            </w:tcBorders>
            <w:vAlign w:val="center"/>
          </w:tcPr>
          <w:p w14:paraId="143B6441">
            <w:pPr>
              <w:spacing w:line="480" w:lineRule="auto"/>
              <w:jc w:val="center"/>
              <w:rPr>
                <w:rFonts w:hint="eastAsia" w:ascii="宋体" w:hAnsi="宋体" w:eastAsia="宋体" w:cs="宋体"/>
                <w:sz w:val="28"/>
                <w:szCs w:val="28"/>
              </w:rPr>
            </w:pPr>
            <w:r>
              <w:rPr>
                <w:rFonts w:hint="eastAsia" w:ascii="宋体" w:hAnsi="宋体" w:eastAsia="宋体" w:cs="宋体"/>
                <w:sz w:val="28"/>
                <w:szCs w:val="28"/>
              </w:rPr>
              <w:t>物探器材（含水质快检包）</w:t>
            </w:r>
          </w:p>
        </w:tc>
        <w:tc>
          <w:tcPr>
            <w:tcW w:w="2206" w:type="dxa"/>
            <w:tcBorders>
              <w:top w:val="single" w:color="auto" w:sz="4" w:space="0"/>
              <w:left w:val="single" w:color="auto" w:sz="4" w:space="0"/>
              <w:bottom w:val="single" w:color="auto" w:sz="4" w:space="0"/>
              <w:right w:val="single" w:color="auto" w:sz="4" w:space="0"/>
            </w:tcBorders>
            <w:vAlign w:val="center"/>
          </w:tcPr>
          <w:p w14:paraId="54C4ECC8">
            <w:pPr>
              <w:spacing w:line="480" w:lineRule="auto"/>
              <w:jc w:val="center"/>
              <w:rPr>
                <w:rFonts w:hint="eastAsia" w:ascii="宋体" w:hAnsi="宋体" w:eastAsia="宋体" w:cs="宋体"/>
                <w:sz w:val="28"/>
                <w:szCs w:val="28"/>
              </w:rPr>
            </w:pPr>
            <w:r>
              <w:rPr>
                <w:rFonts w:hint="eastAsia" w:ascii="宋体" w:hAnsi="宋体" w:eastAsia="宋体" w:cs="宋体"/>
                <w:sz w:val="28"/>
                <w:szCs w:val="28"/>
              </w:rPr>
              <w:t>1</w:t>
            </w:r>
          </w:p>
        </w:tc>
      </w:tr>
    </w:tbl>
    <w:p w14:paraId="648FF72D">
      <w:p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可依据本项目的实际情况，在投标文件中适当增加必要的排查设备，以满足排查工作需要。</w:t>
      </w:r>
    </w:p>
    <w:p w14:paraId="640C0F73">
      <w:pPr>
        <w:spacing w:line="480" w:lineRule="auto"/>
        <w:ind w:firstLine="562" w:firstLineChars="200"/>
        <w:jc w:val="left"/>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四、人员</w:t>
      </w:r>
      <w:r>
        <w:rPr>
          <w:rFonts w:hint="eastAsia" w:ascii="宋体" w:hAnsi="宋体" w:eastAsia="宋体" w:cs="宋体"/>
          <w:b/>
          <w:bCs/>
          <w:sz w:val="28"/>
          <w:szCs w:val="28"/>
          <w:highlight w:val="none"/>
          <w:lang w:val="en-US" w:eastAsia="zh-CN"/>
        </w:rPr>
        <w:t>配备</w:t>
      </w:r>
      <w:r>
        <w:rPr>
          <w:rFonts w:hint="eastAsia" w:ascii="宋体" w:hAnsi="宋体" w:eastAsia="宋体" w:cs="宋体"/>
          <w:b/>
          <w:bCs/>
          <w:sz w:val="28"/>
          <w:szCs w:val="28"/>
          <w:highlight w:val="none"/>
        </w:rPr>
        <w:t>要求</w:t>
      </w:r>
    </w:p>
    <w:p w14:paraId="0A24DC74">
      <w:pPr>
        <w:spacing w:line="480" w:lineRule="auto"/>
        <w:ind w:firstLine="560" w:firstLineChars="200"/>
        <w:jc w:val="left"/>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为控制好本工程的进度与质量，项目负责人具由市政类、给排水类高级及以上职称或注册测绘师以上职业资格的人员任职，通过规范化、科学化管理，如期优质完成本次溯源摸查工作。</w:t>
      </w:r>
    </w:p>
    <w:p w14:paraId="73571710">
      <w:pPr>
        <w:spacing w:line="480" w:lineRule="auto"/>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rPr>
        <w:t>五、技术服务要求</w:t>
      </w:r>
    </w:p>
    <w:p w14:paraId="5611C0C1">
      <w:pPr>
        <w:spacing w:line="480" w:lineRule="auto"/>
        <w:ind w:firstLine="280" w:firstLineChars="100"/>
        <w:jc w:val="left"/>
        <w:rPr>
          <w:rFonts w:hint="eastAsia" w:ascii="宋体" w:hAnsi="宋体" w:eastAsia="宋体" w:cs="宋体"/>
          <w:sz w:val="28"/>
          <w:szCs w:val="28"/>
        </w:rPr>
      </w:pPr>
      <w:r>
        <w:rPr>
          <w:rFonts w:hint="eastAsia" w:ascii="宋体" w:hAnsi="宋体" w:eastAsia="宋体" w:cs="宋体"/>
          <w:sz w:val="28"/>
          <w:szCs w:val="28"/>
        </w:rPr>
        <w:t>（一）供应商应遵守国家相关法律法规以及相关规定及要求。</w:t>
      </w:r>
    </w:p>
    <w:p w14:paraId="44309227">
      <w:pPr>
        <w:spacing w:line="480" w:lineRule="auto"/>
        <w:ind w:firstLine="280" w:firstLineChars="100"/>
        <w:jc w:val="left"/>
        <w:rPr>
          <w:rFonts w:hint="eastAsia" w:ascii="宋体" w:hAnsi="宋体" w:eastAsia="宋体" w:cs="宋体"/>
          <w:sz w:val="28"/>
          <w:szCs w:val="28"/>
        </w:rPr>
      </w:pPr>
      <w:r>
        <w:rPr>
          <w:rFonts w:hint="eastAsia" w:ascii="宋体" w:hAnsi="宋体" w:eastAsia="宋体" w:cs="宋体"/>
          <w:sz w:val="28"/>
          <w:szCs w:val="28"/>
        </w:rPr>
        <w:t>（二）供应商具有按时间进度要求推进项目的能力。</w:t>
      </w:r>
    </w:p>
    <w:p w14:paraId="76732399">
      <w:pPr>
        <w:spacing w:line="480" w:lineRule="auto"/>
        <w:ind w:firstLine="280" w:firstLineChars="100"/>
        <w:jc w:val="left"/>
        <w:rPr>
          <w:rFonts w:hint="eastAsia" w:ascii="宋体" w:hAnsi="宋体" w:eastAsia="宋体" w:cs="宋体"/>
          <w:sz w:val="28"/>
          <w:szCs w:val="28"/>
        </w:rPr>
      </w:pPr>
      <w:r>
        <w:rPr>
          <w:rFonts w:hint="eastAsia" w:ascii="宋体" w:hAnsi="宋体" w:eastAsia="宋体" w:cs="宋体"/>
          <w:sz w:val="28"/>
          <w:szCs w:val="28"/>
        </w:rPr>
        <w:t>（三）技术标准要求：符合国家现行规程、规范、技术标准和要求。</w:t>
      </w:r>
    </w:p>
    <w:p w14:paraId="015A9943">
      <w:pPr>
        <w:spacing w:line="480" w:lineRule="auto"/>
        <w:ind w:firstLine="280" w:firstLineChars="100"/>
        <w:jc w:val="left"/>
        <w:rPr>
          <w:rFonts w:hint="eastAsia" w:ascii="宋体" w:hAnsi="宋体" w:eastAsia="宋体" w:cs="宋体"/>
          <w:sz w:val="28"/>
          <w:szCs w:val="28"/>
        </w:rPr>
      </w:pPr>
      <w:r>
        <w:rPr>
          <w:rFonts w:hint="eastAsia" w:ascii="宋体" w:hAnsi="宋体" w:eastAsia="宋体" w:cs="宋体"/>
          <w:sz w:val="28"/>
          <w:szCs w:val="28"/>
        </w:rPr>
        <w:t>（四）成果要求：成交供应商须提供纸质版报告2套和电子版数据报告1套。</w:t>
      </w:r>
    </w:p>
    <w:p w14:paraId="005251E2">
      <w:pPr>
        <w:spacing w:line="480" w:lineRule="auto"/>
        <w:ind w:firstLine="562" w:firstLineChars="200"/>
        <w:jc w:val="left"/>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六、资料保密要求</w:t>
      </w:r>
    </w:p>
    <w:p w14:paraId="2D29058F">
      <w:p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lang w:val="en-US" w:eastAsia="zh-CN"/>
        </w:rPr>
        <w:t>保密资料包括地形图、地下管线调查过程数据与资料、调查成果等。</w:t>
      </w:r>
    </w:p>
    <w:p w14:paraId="12FC4DCC">
      <w:pPr>
        <w:spacing w:line="480" w:lineRule="auto"/>
        <w:ind w:firstLine="280" w:firstLineChars="100"/>
        <w:jc w:val="left"/>
        <w:rPr>
          <w:rFonts w:hint="eastAsia" w:ascii="宋体" w:hAnsi="宋体" w:eastAsia="宋体" w:cs="宋体"/>
          <w:sz w:val="28"/>
          <w:szCs w:val="28"/>
        </w:rPr>
      </w:pPr>
      <w:r>
        <w:rPr>
          <w:rFonts w:hint="eastAsia" w:ascii="宋体" w:hAnsi="宋体" w:eastAsia="宋体" w:cs="宋体"/>
          <w:sz w:val="28"/>
          <w:szCs w:val="28"/>
          <w:lang w:val="en-US" w:eastAsia="zh-CN"/>
        </w:rPr>
        <w:t xml:space="preserve">（一）项目生产所有废弃的文字、表格、图件等纸质资料都要经过破碎，然后进行处理； </w:t>
      </w:r>
    </w:p>
    <w:p w14:paraId="06536214">
      <w:pPr>
        <w:spacing w:line="480" w:lineRule="auto"/>
        <w:ind w:firstLine="280" w:firstLineChars="100"/>
        <w:jc w:val="left"/>
        <w:rPr>
          <w:rFonts w:hint="eastAsia" w:ascii="宋体" w:hAnsi="宋体" w:eastAsia="宋体" w:cs="宋体"/>
          <w:sz w:val="28"/>
          <w:szCs w:val="28"/>
        </w:rPr>
      </w:pPr>
      <w:r>
        <w:rPr>
          <w:rFonts w:hint="eastAsia" w:ascii="宋体" w:hAnsi="宋体" w:eastAsia="宋体" w:cs="宋体"/>
          <w:sz w:val="28"/>
          <w:szCs w:val="28"/>
          <w:lang w:val="en-US" w:eastAsia="zh-CN"/>
        </w:rPr>
        <w:t xml:space="preserve">（二）项目办公、生产、开发用的电脑都应进行个人加密，专人专用，保证电脑中资料的安全性； </w:t>
      </w:r>
    </w:p>
    <w:p w14:paraId="453FBB6C">
      <w:pPr>
        <w:spacing w:line="480" w:lineRule="auto"/>
        <w:ind w:firstLine="280" w:firstLineChars="100"/>
        <w:jc w:val="left"/>
        <w:rPr>
          <w:rFonts w:hint="eastAsia" w:ascii="宋体" w:hAnsi="宋体" w:eastAsia="宋体" w:cs="宋体"/>
          <w:sz w:val="28"/>
          <w:szCs w:val="28"/>
        </w:rPr>
      </w:pPr>
      <w:r>
        <w:rPr>
          <w:rFonts w:hint="eastAsia" w:ascii="宋体" w:hAnsi="宋体" w:eastAsia="宋体" w:cs="宋体"/>
          <w:sz w:val="28"/>
          <w:szCs w:val="28"/>
          <w:lang w:val="en-US" w:eastAsia="zh-CN"/>
        </w:rPr>
        <w:t>（三）项目所有成果资料由专人负责，生产人员对测绘等资料的领用应做好登记，用完后及时存档。在外业探测过程中，应充分保证调测绘资料等成果不泄漏给他人。</w:t>
      </w:r>
    </w:p>
    <w:p w14:paraId="6E7D750E">
      <w:pPr>
        <w:spacing w:line="480" w:lineRule="auto"/>
        <w:ind w:firstLine="562" w:firstLineChars="200"/>
        <w:jc w:val="left"/>
        <w:rPr>
          <w:rFonts w:hint="eastAsia" w:ascii="宋体" w:hAnsi="宋体" w:eastAsia="宋体" w:cs="宋体"/>
          <w:b/>
          <w:bCs/>
          <w:sz w:val="28"/>
          <w:szCs w:val="28"/>
        </w:rPr>
      </w:pPr>
      <w:r>
        <w:rPr>
          <w:rFonts w:hint="eastAsia" w:ascii="宋体" w:hAnsi="宋体" w:eastAsia="宋体" w:cs="宋体"/>
          <w:b/>
          <w:bCs/>
          <w:sz w:val="28"/>
          <w:szCs w:val="28"/>
          <w:lang w:val="en-US" w:eastAsia="zh-CN"/>
        </w:rPr>
        <w:t>七</w:t>
      </w:r>
      <w:r>
        <w:rPr>
          <w:rFonts w:hint="eastAsia" w:ascii="宋体" w:hAnsi="宋体" w:eastAsia="宋体" w:cs="宋体"/>
          <w:b/>
          <w:bCs/>
          <w:sz w:val="28"/>
          <w:szCs w:val="28"/>
        </w:rPr>
        <w:t>、其他要求</w:t>
      </w:r>
    </w:p>
    <w:p w14:paraId="53D91AEF">
      <w:p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（一）供应商排查完成后，分类整理排查表格，进行问题梳理、汇总，提交给采购人。</w:t>
      </w:r>
    </w:p>
    <w:p w14:paraId="0AD1CA15">
      <w:pPr>
        <w:spacing w:line="480" w:lineRule="auto"/>
        <w:ind w:firstLine="560" w:firstLineChars="200"/>
        <w:jc w:val="left"/>
        <w:rPr>
          <w:rFonts w:hint="eastAsia" w:ascii="宋体" w:hAnsi="宋体" w:eastAsia="宋体" w:cs="宋体"/>
          <w:sz w:val="28"/>
          <w:szCs w:val="28"/>
        </w:rPr>
      </w:pPr>
      <w:r>
        <w:rPr>
          <w:rFonts w:hint="eastAsia" w:ascii="宋体" w:hAnsi="宋体" w:eastAsia="宋体" w:cs="宋体"/>
          <w:sz w:val="28"/>
          <w:szCs w:val="28"/>
        </w:rPr>
        <w:t>（二）供应商应配备充足的人员和齐全的设备，以满足不同环境条件下的排查要求。</w:t>
      </w:r>
    </w:p>
    <w:p w14:paraId="57D883CB">
      <w:pPr>
        <w:keepNext w:val="0"/>
        <w:keepLines w:val="0"/>
        <w:widowControl/>
        <w:suppressLineNumbers w:val="0"/>
        <w:ind w:firstLine="562" w:firstLineChars="200"/>
        <w:jc w:val="left"/>
        <w:rPr>
          <w:rFonts w:hint="default" w:ascii="宋体" w:hAnsi="宋体" w:eastAsia="宋体" w:cs="宋体"/>
          <w:b/>
          <w:bCs/>
          <w:i w:val="0"/>
          <w:iCs w:val="0"/>
          <w:color w:val="000000"/>
          <w:kern w:val="0"/>
          <w:sz w:val="28"/>
          <w:szCs w:val="28"/>
          <w:u w:val="none"/>
          <w:lang w:val="en-US" w:eastAsia="zh-CN" w:bidi="ar"/>
        </w:rPr>
      </w:pPr>
      <w:r>
        <w:rPr>
          <w:rFonts w:hint="eastAsia" w:ascii="宋体" w:hAnsi="宋体" w:eastAsia="宋体" w:cs="宋体"/>
          <w:b/>
          <w:bCs/>
          <w:i w:val="0"/>
          <w:iCs w:val="0"/>
          <w:color w:val="000000"/>
          <w:kern w:val="0"/>
          <w:sz w:val="28"/>
          <w:szCs w:val="28"/>
          <w:u w:val="none"/>
          <w:lang w:val="en-US" w:eastAsia="zh-CN" w:bidi="ar"/>
        </w:rPr>
        <w:t>八、</w:t>
      </w:r>
      <w:r>
        <w:rPr>
          <w:rFonts w:ascii="仿宋" w:hAnsi="仿宋" w:eastAsia="仿宋" w:cs="仿宋"/>
          <w:b/>
          <w:bCs/>
          <w:color w:val="000000"/>
          <w:kern w:val="0"/>
          <w:sz w:val="28"/>
          <w:szCs w:val="28"/>
          <w:lang w:val="en-US" w:eastAsia="zh-CN" w:bidi="ar"/>
        </w:rPr>
        <w:t>管理溯源摸排暂估工程量</w:t>
      </w:r>
    </w:p>
    <w:tbl>
      <w:tblPr>
        <w:tblStyle w:val="6"/>
        <w:tblW w:w="3555" w:type="pct"/>
        <w:jc w:val="center"/>
        <w:tblLayout w:type="fixed"/>
        <w:tblCellMar>
          <w:top w:w="0" w:type="dxa"/>
          <w:left w:w="108" w:type="dxa"/>
          <w:bottom w:w="0" w:type="dxa"/>
          <w:right w:w="108" w:type="dxa"/>
        </w:tblCellMar>
      </w:tblPr>
      <w:tblGrid>
        <w:gridCol w:w="1664"/>
        <w:gridCol w:w="2508"/>
        <w:gridCol w:w="937"/>
        <w:gridCol w:w="951"/>
      </w:tblGrid>
      <w:tr w14:paraId="7DD23559">
        <w:tblPrEx>
          <w:tblCellMar>
            <w:top w:w="0" w:type="dxa"/>
            <w:left w:w="108" w:type="dxa"/>
            <w:bottom w:w="0" w:type="dxa"/>
            <w:right w:w="108" w:type="dxa"/>
          </w:tblCellMar>
        </w:tblPrEx>
        <w:trPr>
          <w:trHeight w:val="1124" w:hRule="atLeast"/>
          <w:jc w:val="center"/>
        </w:trPr>
        <w:tc>
          <w:tcPr>
            <w:tcW w:w="1372"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4B43E1">
            <w:pPr>
              <w:spacing w:line="48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工作子项</w:t>
            </w:r>
          </w:p>
        </w:tc>
        <w:tc>
          <w:tcPr>
            <w:tcW w:w="2069" w:type="pct"/>
            <w:tcBorders>
              <w:top w:val="single" w:color="auto" w:sz="4" w:space="0"/>
              <w:left w:val="nil"/>
              <w:bottom w:val="single" w:color="auto" w:sz="4" w:space="0"/>
              <w:right w:val="single" w:color="auto" w:sz="4" w:space="0"/>
            </w:tcBorders>
            <w:shd w:val="clear" w:color="auto" w:fill="auto"/>
            <w:noWrap/>
            <w:vAlign w:val="center"/>
          </w:tcPr>
          <w:p w14:paraId="7F572429">
            <w:pPr>
              <w:spacing w:line="48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工作内容</w:t>
            </w:r>
          </w:p>
        </w:tc>
        <w:tc>
          <w:tcPr>
            <w:tcW w:w="772" w:type="pct"/>
            <w:tcBorders>
              <w:top w:val="single" w:color="auto" w:sz="4" w:space="0"/>
              <w:left w:val="nil"/>
              <w:bottom w:val="single" w:color="auto" w:sz="4" w:space="0"/>
              <w:right w:val="single" w:color="auto" w:sz="4" w:space="0"/>
            </w:tcBorders>
            <w:shd w:val="clear" w:color="auto" w:fill="auto"/>
            <w:noWrap/>
            <w:vAlign w:val="center"/>
          </w:tcPr>
          <w:p w14:paraId="6E47F229">
            <w:pPr>
              <w:spacing w:line="48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单位</w:t>
            </w:r>
          </w:p>
        </w:tc>
        <w:tc>
          <w:tcPr>
            <w:tcW w:w="784" w:type="pct"/>
            <w:tcBorders>
              <w:top w:val="single" w:color="auto" w:sz="4" w:space="0"/>
              <w:left w:val="nil"/>
              <w:bottom w:val="single" w:color="auto" w:sz="4" w:space="0"/>
              <w:right w:val="single" w:color="auto" w:sz="4" w:space="0"/>
            </w:tcBorders>
            <w:shd w:val="clear" w:color="000000" w:fill="FFFFFF"/>
            <w:vAlign w:val="center"/>
          </w:tcPr>
          <w:p w14:paraId="0345B29E">
            <w:pPr>
              <w:spacing w:line="48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工作量</w:t>
            </w:r>
          </w:p>
        </w:tc>
      </w:tr>
      <w:tr w14:paraId="08B9F5B7">
        <w:tblPrEx>
          <w:tblCellMar>
            <w:top w:w="0" w:type="dxa"/>
            <w:left w:w="108" w:type="dxa"/>
            <w:bottom w:w="0" w:type="dxa"/>
            <w:right w:w="108" w:type="dxa"/>
          </w:tblCellMar>
        </w:tblPrEx>
        <w:trPr>
          <w:trHeight w:val="1124" w:hRule="atLeast"/>
          <w:jc w:val="center"/>
        </w:trPr>
        <w:tc>
          <w:tcPr>
            <w:tcW w:w="1372" w:type="pct"/>
            <w:vMerge w:val="restart"/>
            <w:tcBorders>
              <w:top w:val="single" w:color="auto" w:sz="4" w:space="0"/>
              <w:left w:val="single" w:color="auto" w:sz="4" w:space="0"/>
              <w:right w:val="single" w:color="auto" w:sz="4" w:space="0"/>
            </w:tcBorders>
            <w:shd w:val="clear" w:color="auto" w:fill="auto"/>
            <w:vAlign w:val="center"/>
          </w:tcPr>
          <w:p w14:paraId="5D5E760E">
            <w:pPr>
              <w:spacing w:line="48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溯源摸查</w:t>
            </w:r>
          </w:p>
        </w:tc>
        <w:tc>
          <w:tcPr>
            <w:tcW w:w="2069" w:type="pct"/>
            <w:tcBorders>
              <w:top w:val="single" w:color="auto" w:sz="4" w:space="0"/>
              <w:left w:val="nil"/>
              <w:bottom w:val="single" w:color="auto" w:sz="4" w:space="0"/>
              <w:right w:val="single" w:color="auto" w:sz="4" w:space="0"/>
            </w:tcBorders>
            <w:shd w:val="clear" w:color="000000" w:fill="FFFFFF"/>
            <w:vAlign w:val="center"/>
          </w:tcPr>
          <w:p w14:paraId="30AA9F80">
            <w:pPr>
              <w:spacing w:line="48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区域排水管线排查</w:t>
            </w:r>
          </w:p>
        </w:tc>
        <w:tc>
          <w:tcPr>
            <w:tcW w:w="772" w:type="pct"/>
            <w:tcBorders>
              <w:top w:val="single" w:color="auto" w:sz="4" w:space="0"/>
              <w:left w:val="nil"/>
              <w:bottom w:val="single" w:color="auto" w:sz="4" w:space="0"/>
              <w:right w:val="single" w:color="auto" w:sz="4" w:space="0"/>
            </w:tcBorders>
            <w:shd w:val="clear" w:color="auto" w:fill="auto"/>
            <w:noWrap/>
            <w:vAlign w:val="center"/>
          </w:tcPr>
          <w:p w14:paraId="6087D195">
            <w:pPr>
              <w:spacing w:line="48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km</w:t>
            </w:r>
          </w:p>
        </w:tc>
        <w:tc>
          <w:tcPr>
            <w:tcW w:w="784" w:type="pct"/>
            <w:tcBorders>
              <w:top w:val="single" w:color="auto" w:sz="4" w:space="0"/>
              <w:left w:val="nil"/>
              <w:bottom w:val="single" w:color="auto" w:sz="4" w:space="0"/>
              <w:right w:val="single" w:color="auto" w:sz="4" w:space="0"/>
            </w:tcBorders>
            <w:shd w:val="clear" w:color="000000" w:fill="FFFFFF"/>
            <w:noWrap/>
            <w:vAlign w:val="center"/>
          </w:tcPr>
          <w:p w14:paraId="57EB177A">
            <w:pPr>
              <w:spacing w:line="48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180</w:t>
            </w:r>
          </w:p>
        </w:tc>
      </w:tr>
      <w:tr w14:paraId="6D45DB83">
        <w:tblPrEx>
          <w:tblCellMar>
            <w:top w:w="0" w:type="dxa"/>
            <w:left w:w="108" w:type="dxa"/>
            <w:bottom w:w="0" w:type="dxa"/>
            <w:right w:w="108" w:type="dxa"/>
          </w:tblCellMar>
        </w:tblPrEx>
        <w:trPr>
          <w:trHeight w:val="1124" w:hRule="atLeast"/>
          <w:jc w:val="center"/>
        </w:trPr>
        <w:tc>
          <w:tcPr>
            <w:tcW w:w="1372" w:type="pct"/>
            <w:vMerge w:val="continue"/>
            <w:tcBorders>
              <w:left w:val="single" w:color="auto" w:sz="4" w:space="0"/>
              <w:right w:val="single" w:color="auto" w:sz="4" w:space="0"/>
            </w:tcBorders>
            <w:vAlign w:val="center"/>
          </w:tcPr>
          <w:p w14:paraId="5A4954C8">
            <w:pPr>
              <w:spacing w:line="480" w:lineRule="auto"/>
              <w:ind w:firstLine="560" w:firstLineChars="200"/>
              <w:jc w:val="center"/>
              <w:rPr>
                <w:rFonts w:hint="eastAsia" w:ascii="宋体" w:hAnsi="宋体" w:eastAsia="宋体" w:cs="宋体"/>
                <w:sz w:val="28"/>
                <w:szCs w:val="28"/>
                <w:lang w:val="en-US" w:eastAsia="zh-CN"/>
              </w:rPr>
            </w:pPr>
          </w:p>
        </w:tc>
        <w:tc>
          <w:tcPr>
            <w:tcW w:w="2069" w:type="pct"/>
            <w:tcBorders>
              <w:top w:val="nil"/>
              <w:left w:val="nil"/>
              <w:bottom w:val="single" w:color="auto" w:sz="4" w:space="0"/>
              <w:right w:val="single" w:color="auto" w:sz="4" w:space="0"/>
            </w:tcBorders>
            <w:shd w:val="clear" w:color="auto" w:fill="auto"/>
            <w:noWrap/>
            <w:vAlign w:val="center"/>
          </w:tcPr>
          <w:p w14:paraId="2B3BDA56">
            <w:pPr>
              <w:spacing w:line="48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排口调查</w:t>
            </w:r>
          </w:p>
        </w:tc>
        <w:tc>
          <w:tcPr>
            <w:tcW w:w="772" w:type="pct"/>
            <w:tcBorders>
              <w:top w:val="nil"/>
              <w:left w:val="nil"/>
              <w:bottom w:val="single" w:color="auto" w:sz="4" w:space="0"/>
              <w:right w:val="single" w:color="auto" w:sz="4" w:space="0"/>
            </w:tcBorders>
            <w:shd w:val="clear" w:color="auto" w:fill="auto"/>
            <w:noWrap/>
            <w:vAlign w:val="center"/>
          </w:tcPr>
          <w:p w14:paraId="6ED72521">
            <w:pPr>
              <w:spacing w:line="48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处</w:t>
            </w:r>
          </w:p>
        </w:tc>
        <w:tc>
          <w:tcPr>
            <w:tcW w:w="784" w:type="pct"/>
            <w:tcBorders>
              <w:top w:val="nil"/>
              <w:left w:val="nil"/>
              <w:bottom w:val="single" w:color="auto" w:sz="4" w:space="0"/>
              <w:right w:val="single" w:color="auto" w:sz="4" w:space="0"/>
            </w:tcBorders>
            <w:shd w:val="clear" w:color="000000" w:fill="FFFFFF"/>
            <w:noWrap/>
            <w:vAlign w:val="center"/>
          </w:tcPr>
          <w:p w14:paraId="0C55DFCA">
            <w:pPr>
              <w:spacing w:line="48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175</w:t>
            </w:r>
          </w:p>
        </w:tc>
      </w:tr>
      <w:tr w14:paraId="2A4916E1">
        <w:tblPrEx>
          <w:tblCellMar>
            <w:top w:w="0" w:type="dxa"/>
            <w:left w:w="108" w:type="dxa"/>
            <w:bottom w:w="0" w:type="dxa"/>
            <w:right w:w="108" w:type="dxa"/>
          </w:tblCellMar>
        </w:tblPrEx>
        <w:trPr>
          <w:trHeight w:val="1224" w:hRule="atLeast"/>
          <w:jc w:val="center"/>
        </w:trPr>
        <w:tc>
          <w:tcPr>
            <w:tcW w:w="1372" w:type="pct"/>
            <w:vMerge w:val="continue"/>
            <w:tcBorders>
              <w:left w:val="single" w:color="auto" w:sz="4" w:space="0"/>
              <w:bottom w:val="single" w:color="auto" w:sz="4" w:space="0"/>
              <w:right w:val="single" w:color="auto" w:sz="4" w:space="0"/>
            </w:tcBorders>
            <w:shd w:val="clear" w:color="auto" w:fill="auto"/>
            <w:vAlign w:val="center"/>
          </w:tcPr>
          <w:p w14:paraId="0CF64021">
            <w:pPr>
              <w:spacing w:line="480" w:lineRule="auto"/>
              <w:ind w:firstLine="560" w:firstLineChars="200"/>
              <w:jc w:val="center"/>
              <w:rPr>
                <w:rFonts w:hint="eastAsia" w:ascii="宋体" w:hAnsi="宋体" w:eastAsia="宋体" w:cs="宋体"/>
                <w:sz w:val="28"/>
                <w:szCs w:val="28"/>
                <w:lang w:val="en-US" w:eastAsia="zh-CN"/>
              </w:rPr>
            </w:pPr>
          </w:p>
        </w:tc>
        <w:tc>
          <w:tcPr>
            <w:tcW w:w="2069" w:type="pct"/>
            <w:tcBorders>
              <w:top w:val="nil"/>
              <w:left w:val="nil"/>
              <w:bottom w:val="single" w:color="auto" w:sz="4" w:space="0"/>
              <w:right w:val="single" w:color="auto" w:sz="4" w:space="0"/>
            </w:tcBorders>
            <w:shd w:val="clear" w:color="000000" w:fill="FFFFFF"/>
            <w:vAlign w:val="center"/>
          </w:tcPr>
          <w:p w14:paraId="0036580B">
            <w:pPr>
              <w:spacing w:line="48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水质调查（COD\氨氮快速检测）</w:t>
            </w:r>
          </w:p>
        </w:tc>
        <w:tc>
          <w:tcPr>
            <w:tcW w:w="772" w:type="pct"/>
            <w:tcBorders>
              <w:top w:val="nil"/>
              <w:left w:val="nil"/>
              <w:bottom w:val="single" w:color="auto" w:sz="4" w:space="0"/>
              <w:right w:val="single" w:color="auto" w:sz="4" w:space="0"/>
            </w:tcBorders>
            <w:shd w:val="clear" w:color="auto" w:fill="auto"/>
            <w:noWrap/>
            <w:vAlign w:val="center"/>
          </w:tcPr>
          <w:p w14:paraId="0DDF8CEF">
            <w:pPr>
              <w:spacing w:line="48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处</w:t>
            </w:r>
          </w:p>
        </w:tc>
        <w:tc>
          <w:tcPr>
            <w:tcW w:w="784" w:type="pct"/>
            <w:tcBorders>
              <w:top w:val="nil"/>
              <w:left w:val="nil"/>
              <w:bottom w:val="single" w:color="auto" w:sz="4" w:space="0"/>
              <w:right w:val="single" w:color="auto" w:sz="4" w:space="0"/>
            </w:tcBorders>
            <w:shd w:val="clear" w:color="000000" w:fill="FFFFFF"/>
            <w:noWrap/>
            <w:vAlign w:val="center"/>
          </w:tcPr>
          <w:p w14:paraId="67C355FC">
            <w:pPr>
              <w:spacing w:line="480" w:lineRule="auto"/>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175</w:t>
            </w:r>
          </w:p>
        </w:tc>
      </w:tr>
    </w:tbl>
    <w:p w14:paraId="0C6FFD98">
      <w:pPr>
        <w:jc w:val="center"/>
        <w:rPr>
          <w:rFonts w:hint="eastAsia" w:eastAsiaTheme="minorEastAsia"/>
          <w:sz w:val="32"/>
          <w:szCs w:val="32"/>
          <w:lang w:eastAsia="zh-CN"/>
        </w:rPr>
      </w:pPr>
    </w:p>
    <w:p w14:paraId="484F9831">
      <w:pPr>
        <w:pStyle w:val="5"/>
        <w:ind w:left="0" w:leftChars="0" w:firstLine="0" w:firstLineChars="0"/>
        <w:rPr>
          <w:rFonts w:hint="eastAsia" w:ascii="宋体" w:hAnsi="宋体" w:eastAsia="宋体" w:cs="宋体"/>
          <w:b/>
          <w:bCs/>
          <w:i w:val="0"/>
          <w:iCs w:val="0"/>
          <w:caps w:val="0"/>
          <w:color w:val="383838"/>
          <w:spacing w:val="0"/>
          <w:kern w:val="0"/>
          <w:sz w:val="28"/>
          <w:szCs w:val="28"/>
          <w:shd w:val="clear" w:fill="FFFFFF"/>
          <w:vertAlign w:val="baseline"/>
          <w:lang w:val="en-US" w:eastAsia="zh-CN" w:bidi="ar"/>
        </w:rPr>
      </w:pPr>
    </w:p>
    <w:p w14:paraId="77A2C77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8F644E"/>
    <w:rsid w:val="6A2626B5"/>
    <w:rsid w:val="6E8F64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next w:val="3"/>
    <w:semiHidden/>
    <w:qFormat/>
    <w:uiPriority w:val="99"/>
    <w:pPr>
      <w:spacing w:after="120"/>
      <w:ind w:left="420" w:leftChars="200"/>
    </w:pPr>
  </w:style>
  <w:style w:type="paragraph" w:styleId="3">
    <w:name w:val="Body Text Indent 2"/>
    <w:basedOn w:val="1"/>
    <w:qFormat/>
    <w:uiPriority w:val="0"/>
    <w:pPr>
      <w:spacing w:line="480" w:lineRule="auto"/>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Body Text First Indent 2"/>
    <w:basedOn w:val="2"/>
    <w:qFormat/>
    <w:uiPriority w:val="99"/>
    <w:pPr>
      <w:spacing w:after="0"/>
      <w:ind w:left="0" w:leftChars="0" w:firstLine="420" w:firstLineChars="200"/>
    </w:pPr>
    <w:rPr>
      <w:rFonts w:ascii="??_GB2312" w:hAnsi="Times New Roman" w:eastAsia="Times New Roman"/>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2024-11-29T08:17:00Z</dcterms:created>
  <dc:creator>1</dc:creator>
  <cp:lastModifiedBy>1</cp:lastModifiedBy>
  <dcterms:modified xsi:type="dcterms:W3CDTF">2024-11-29T08:19:18Z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4B3F4B4A51FD43099904AB51BE79BACD_11</vt:lpwstr>
  </property>
</Properties>
</file>